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44406d8k.htm"/>
      <w:bookmarkStart w:id="1" w:name="ksd84440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29,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Life360,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3125"/>
        <w:gridCol w:w="60"/>
        <w:gridCol w:w="138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000-56424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26-0197666</w:t>
            </w:r>
          </w:p>
        </w:tc>
      </w:tr>
      <w:tr>
        <w:trPr/>
        <w:tc>
          <w:tcPr>
            <w:tcW w:w="312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1900 South Norfolk Street, Suite 310</w:t>
      </w:r>
    </w:p>
    <w:p>
      <w:pPr>
        <w:pStyle w:val="TextBody"/>
        <w:bidi w:val="0"/>
        <w:spacing w:before="0" w:after="0"/>
        <w:jc w:val="center"/>
        <w:rPr>
          <w:rFonts w:ascii="Times New Roman" w:hAnsi="Times New Roman"/>
          <w:b/>
          <w:sz w:val="20"/>
        </w:rPr>
      </w:pPr>
      <w:r>
        <w:rPr>
          <w:rFonts w:ascii="Times New Roman" w:hAnsi="Times New Roman"/>
          <w:b/>
          <w:sz w:val="20"/>
        </w:rPr>
        <w:t>San Mateo, CA 94403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(415) 484-5244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410" w:type="dxa"/>
        <w:jc w:val="left"/>
        <w:tblInd w:w="0" w:type="dxa"/>
        <w:tblLayout w:type="fixed"/>
        <w:tblCellMar>
          <w:top w:w="0" w:type="dxa"/>
          <w:left w:w="0" w:type="dxa"/>
          <w:bottom w:w="0" w:type="dxa"/>
          <w:right w:w="0" w:type="dxa"/>
        </w:tblCellMar>
      </w:tblPr>
      <w:tblGrid>
        <w:gridCol w:w="965"/>
        <w:gridCol w:w="4445"/>
      </w:tblGrid>
      <w:tr>
        <w:trPr/>
        <w:tc>
          <w:tcPr>
            <w:tcW w:w="965" w:type="dxa"/>
            <w:tcBorders/>
            <w:vAlign w:val="center"/>
          </w:tcPr>
          <w:p>
            <w:pPr>
              <w:pStyle w:val="TableContents"/>
              <w:bidi w:val="0"/>
              <w:spacing w:before="0" w:after="283"/>
              <w:jc w:val="left"/>
              <w:rPr>
                <w:b/>
              </w:rPr>
            </w:pPr>
            <w:r>
              <w:rPr>
                <w:b/>
              </w:rPr>
              <w:t>Item 3.03</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5.03 of this Current Report on Form 8-K (this “Report”) below is incorporated by reference into this Item 3.03.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965"/>
        <w:gridCol w:w="6425"/>
      </w:tblGrid>
      <w:tr>
        <w:trPr/>
        <w:tc>
          <w:tcPr>
            <w:tcW w:w="96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under Item 5.07 of this Report below, Life360, Inc. (the “Company”) held its 2024 annual meeting of stockholders on May 29, 2024 (the “Annual Meeting”). At the Annual Meeting, upon the recommendation of the Company’s board of directors (the “Board”), the Company’s stockholders approved certain amendments to the Company’s Amended and Restated Certificate of Incorporation, as amended (the “Certificate of Incorporation”), to (i) increase the number of authorized shares of common stock from 100,000,000 to 500,000,000, (ii) limit the monetary liability of certain officers of the Company for breaches of fiduciary duties in certain actions, as permitted by Delaware law, and (iii) provide for an exclusive federal forum for claims asserted under the U.S. Securities Act of 1933, as amended (the “Securities Act”). Following the Annual Meeting, on May 31, 2024, the Company filed the amendments to the Certificate of Incorporation as well as a Restated Certificate of Incorporation (the “Restated Certificate”), which integrates the amendments to the Certificate of Incorporation approved by the Company’s stockholders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May 29, 2024, the Board approved amendments to the Company’s Amended and Restated Bylaws (“Bylaws”), which would become effective in connection with an initial public offering, to, among other things (i) conform certain provisions to the current versions of the relevant provisions under Delaware General Corporation Law, including with respect to notice of stockholder meetings, adjournments of stockholder meetings and setting the record date, (ii) allow the Board to delegate the ability to fix the place of stockholder meetings, (iii) specify the authority of the chair of stockholder meetings, (iv) implement procedural requirements that stockholders seeking to call a special meeting must satisfy, such as requiring a stockholder to first request the board fix a record date to determine stockholders entitled to submit special meeting requests and requiring stockholders to include in a special meeting request information regarding the stockholder and any proposed business or nomination to be considered at the requested special meeting, (v) include procedures for stockholder director nominations and proposals for business at an annual meeting, including the adoption of updated advance notice requirements, (vi) clarify provisions and address inconsistencies between similar provisions, and (vii) modernize the provisions related to indemnification and advancement, including by limiting the class of mandatory indemnitees, clarifying the scope of indemnification, and providing the Board a sufficient opportunity to consider indemnification claims.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preceding descriptions of the amendments to the Certificate of Incorporation and the Bylaws do not purport to be complete and are qualified in their entirety by reference to the Restated Certificate and the Bylaws, which are attached hereto as Exhibit 3.1 and Exhibit 3.2, respectively, and incorporated herein by reference.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965"/>
        <w:gridCol w:w="7985"/>
      </w:tblGrid>
      <w:tr>
        <w:trPr/>
        <w:tc>
          <w:tcPr>
            <w:tcW w:w="965" w:type="dxa"/>
            <w:tcBorders/>
            <w:vAlign w:val="center"/>
          </w:tcPr>
          <w:p>
            <w:pPr>
              <w:pStyle w:val="TableContents"/>
              <w:bidi w:val="0"/>
              <w:spacing w:before="0" w:after="283"/>
              <w:jc w:val="left"/>
              <w:rPr>
                <w:b/>
              </w:rPr>
            </w:pPr>
            <w:r>
              <w:rPr>
                <w:b/>
              </w:rPr>
              <w:t>Item 5.05</w:t>
            </w:r>
          </w:p>
        </w:tc>
        <w:tc>
          <w:tcPr>
            <w:tcW w:w="7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the Registrant’s Code of Ethics, or Waiver of a Provision of the 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29, 2024, Board approved an amended code of conduct applicable to all of the Company’s personnel, including employees, officers and directors (the “Code of Conduct”), which would become effective in connection with an initial public offering. A copy of the amended Code of Conduct will be posted on the Company’s website at www.life360.com upon effectiveness. The reference to the Company’s website address does not constitute incorporation by reference of the information contained at or available through the Company’s website, and you should not consider it to be a part of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Code of Conduct does not purport to be complete and is qualified in its entirety by reference to the full text of the Code of Conduct, which is filed as Exhibit 14.1 to this Report and is incorporated herein by reference.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5.07</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29, 2024, the Company held its Annual Meeting. Present at the Annual Meeting virtually or by proxy were the holders of 49,310,867 shares of common stock of the Company, representing approximately 71% of the 69,451,629 shares of common stock outstanding as of the close of business on April 9, 2024, the record date for the Annual Meeting, and constituting a quorum for the transaction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the Company’s stockholders voted on eighteen proposals, each of which is described in more detail in the Company’s definitive proxy statement on Schedule 14A filed with the U.S. Securities and Exchange Commission on April 16, 2024 (the “Proxy Statement”). The following is a brief description of each matter voted upon and the certified results.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elected the following three Class II directors to hold office until the Company’s 2027 annual meeting of stockholders. The voting results were as follows: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550"/>
        <w:gridCol w:w="60"/>
        <w:gridCol w:w="1100"/>
        <w:gridCol w:w="60"/>
        <w:gridCol w:w="1130"/>
        <w:gridCol w:w="60"/>
        <w:gridCol w:w="1340"/>
        <w:gridCol w:w="60"/>
        <w:gridCol w:w="99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Withheld</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Brittany Morin</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43,820,341</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4,973,669</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516,857</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Synge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42,310,665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5,762,136</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1,238,066</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Wiadrowski</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43,672,188</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4,910,043</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728,636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US$1,200,000 (at the time of the grant) and performance restricted stock units to acquire shares of common stock up to a maximum value of US$3,600,000 (at the time of the grant) to Chris Hulls on the terms and conditions set out in the Proxy Statement, pursuant to and for the purposes of Australian Securities Exchange (“ASX”) Listing Rule 10.14. The voting results were as follows: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965"/>
        <w:gridCol w:w="60"/>
        <w:gridCol w:w="1100"/>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24,680,479</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20,374,690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58,969</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4,196,729</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sz w:val="13"/>
              </w:rPr>
              <w:t>*</w:t>
            </w:r>
            <w:r>
              <w:rPr/>
              <w:t> </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underlying votes that were not cast or that were disregarded, including pursuant to ASX Listing Rule 14.11.1, as further described in the Proxy Statement.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US$204,500 (at the time of the grant) to John Philip Coghlan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43,369,789</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1,591,893</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84,252</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4,264,933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US$175,500 (at the time of the grant) to Brit Morin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44,194,690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775,746</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855,845</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3,484,586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US$176,000 (at the time of the grant) to James Synge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44,184,303</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775,746</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866,232</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3,484,586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US$177,000 (at the time of the grant) to Mark Goines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44,152,810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775,728</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304,985</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4,077,344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7.</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US$185,000 (at the time of the grant) to David Wiadrowski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44,121,002</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775,772</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149,161</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4,264,932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8.</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US$170,000 (at the time of the grant) to Randi Zuckerberg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44,121,062</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809,355</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115,517</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4,264,933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US$170,000 (at the time of the grant) to Alex Haro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44,129,009</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776,138</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140,787</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4,264,933</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10.</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the grant of restricted stock units to acquire shares of common stock of the Company equal in value to US$170,000 (at the time of the grant) to Charles “CJ” Prober on the terms and conditions set out in the Proxy Statement, pursuant to and for the purposes of ASX Listing Rule 10.14. The voting results were as follows: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44,073,340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823,276</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149,318</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4,264,933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3"/>
        <w:gridCol w:w="9827"/>
      </w:tblGrid>
      <w:tr>
        <w:trPr/>
        <w:tc>
          <w:tcPr>
            <w:tcW w:w="75"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11.</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on an advisory, non-binding basis, the compensation of the Company’s named executive officers. The voting results were as follows: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965"/>
        <w:gridCol w:w="60"/>
        <w:gridCol w:w="1100"/>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28,833,001</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20,138,752</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107,318</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231,796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on an advisory, non-binding basis, the frequency of soliciting a non-binding advisory vote on the compensation of the Company’s named executive officers. The voting results were as follows: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965"/>
        <w:gridCol w:w="60"/>
        <w:gridCol w:w="800"/>
        <w:gridCol w:w="60"/>
        <w:gridCol w:w="980"/>
        <w:gridCol w:w="60"/>
        <w:gridCol w:w="860"/>
        <w:gridCol w:w="60"/>
        <w:gridCol w:w="99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One Year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Two Years</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Three Years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43,323,926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980,542</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2,785,351</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827,998</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1,393,050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ratified the selection by the audit and risk management committee of the Board of Deloitte &amp; Touche, LLP as the independent registered public accounting firm of the Company for its fiscal year ending December 31, 2024. The voting results were as follows: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49,041,042</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18,396</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19,633</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231,796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14.</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an amendment to the Certificate of Incorporation of the Company to increase the number of authorized shares. The voting results were as follows: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43,874,453</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5,204,619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231,795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5"/>
        <w:gridCol w:w="982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15.</w:t>
            </w:r>
          </w:p>
        </w:tc>
        <w:tc>
          <w:tcPr>
            <w:tcW w:w="9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did not approve an amendment to the Certificate of Incorporation to create a class of preferred stock. The voting results were as follows: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965"/>
        <w:gridCol w:w="60"/>
        <w:gridCol w:w="1100"/>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20,782,143</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28,296,929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231,795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16.</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did not approve an amendment to the Certificate of Incorporation to amend authority to call a special meeting. The voting results were as follows: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965"/>
        <w:gridCol w:w="60"/>
        <w:gridCol w:w="1100"/>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20,745,812</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28,333,260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231,795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17.</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an amendment to the Certificate of Incorporation to reflect Delaware law provisions regarding exculpation of officers. The voting results were as follows: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44,865,228</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4,145,640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299,999</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18.</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approved an amendment to the Certificate of Incorporation to add a new provision that the sole and exclusive forum for the resolution of any complainant asserting a cause of action arising under the Securities Act shall be the federal district courts of the United States of America, unless the Company selects or consents in writing to the selection of an alternative forum. The voting results were as follows: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965"/>
        <w:gridCol w:w="60"/>
        <w:gridCol w:w="1025"/>
        <w:gridCol w:w="60"/>
        <w:gridCol w:w="860"/>
        <w:gridCol w:w="60"/>
        <w:gridCol w:w="1340"/>
        <w:gridCol w:w="60"/>
        <w:gridCol w:w="81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Uncast*</w:t>
            </w:r>
          </w:p>
        </w:tc>
      </w:tr>
      <w:tr>
        <w:trPr/>
        <w:tc>
          <w:tcPr>
            <w:tcW w:w="96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45,502,667</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3,508,201</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299,999</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furnishing this Item 7.01 of this Report in connection with the disclosure of information, in the form of the textual information from a PowerPoint presentation given during the Annual Meeting. Copies of the scripts used for the speeches of the Chairman and CEO and PowerPoint presentation at the Annual Meeting are furnished as Exhibit 99.1 and Exhibit 99.2, respectively,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Report (including Exhibits 99.1 and 99.2) is furnished pursuant to Item 7.01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Report will not be deemed an admission as the materiality of any information in this Item 7.01 that is required to be disclosed solely by Regulation FD. </w:t>
      </w:r>
    </w:p>
    <w:p>
      <w:pPr>
        <w:pStyle w:val="TextBody"/>
        <w:bidi w:val="0"/>
        <w:spacing w:before="240" w:after="0"/>
        <w:jc w:val="left"/>
        <w:rPr>
          <w:rFonts w:ascii="Times New Roman" w:hAnsi="Times New Roman"/>
          <w:sz w:val="20"/>
        </w:rPr>
      </w:pPr>
      <w:r>
        <w:rPr>
          <w:rFonts w:ascii="Times New Roman" w:hAnsi="Times New Roman"/>
          <w:sz w:val="20"/>
        </w:rPr>
        <w:t xml:space="preserve">The text included with this Item 7.01 of this Report will be available on our website located at www.life360.com, although we reserve the right to discontinue that availability at any time.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44406dex31.htm">
              <w:r>
                <w:rPr>
                  <w:rStyle w:val="InternetLink"/>
                </w:rPr>
                <w:t xml:space="preserve">Restated Certificate of Incorporation of Life360, Inc.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44406dex32.htm">
              <w:r>
                <w:rPr>
                  <w:rStyle w:val="InternetLink"/>
                </w:rPr>
                <w:t xml:space="preserve">Amended &amp; Restated Bylaws of Life360, Inc.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44406dex141.htm">
              <w:r>
                <w:rPr>
                  <w:rStyle w:val="InternetLink"/>
                </w:rPr>
                <w:t xml:space="preserve">Life360, Inc. Code of Conduct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44406dex991.htm">
              <w:r>
                <w:rPr>
                  <w:rStyle w:val="InternetLink"/>
                </w:rPr>
                <w:t xml:space="preserve">Life360, Inc. Annual Meeting Chairman and CEO Speeches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44406dex992.htm">
              <w:r>
                <w:rPr>
                  <w:rStyle w:val="InternetLink"/>
                </w:rPr>
                <w:t xml:space="preserve">Life360, Inc. Annual Meeting Presentation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53" w:type="dxa"/>
        <w:jc w:val="left"/>
        <w:tblInd w:w="0" w:type="dxa"/>
        <w:tblLayout w:type="fixed"/>
        <w:tblCellMar>
          <w:top w:w="0" w:type="dxa"/>
          <w:left w:w="0" w:type="dxa"/>
          <w:bottom w:w="0" w:type="dxa"/>
          <w:right w:w="0" w:type="dxa"/>
        </w:tblCellMar>
      </w:tblPr>
      <w:tblGrid>
        <w:gridCol w:w="2060"/>
        <w:gridCol w:w="60"/>
        <w:gridCol w:w="23"/>
        <w:gridCol w:w="60"/>
        <w:gridCol w:w="365"/>
        <w:gridCol w:w="60"/>
        <w:gridCol w:w="222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LIFE360, INC.</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31,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Russell Burke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Russell Burke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44406dex31.htm"/>
      <w:bookmarkStart w:id="3" w:name="ksd844406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Russell Burke, hereby certifies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appointed and acting Chief Financial Officer of Life360,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this corporation was originally filed with the Secretary of State of Delaware on April 17, 2007 under the name of LReady,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Certificate of Incorporation, as amended, of this corporation shall be restated to read in full as follows: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ARTICLE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name of this corporation is Life360,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in the City of Wilmington, County of New Castle, Zip Code 19801. The name of its registered agent at such address is National Registered Agents,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General Corporation Law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u w:val="single"/>
        </w:rPr>
        <w:t>Classes of Stock</w:t>
      </w:r>
      <w:r>
        <w:rPr>
          <w:rFonts w:ascii="Times New Roman" w:hAnsi="Times New Roman"/>
          <w:b/>
          <w:sz w:val="20"/>
        </w:rPr>
        <w:t xml:space="preserve">. </w:t>
      </w:r>
      <w:r>
        <w:rPr>
          <w:rFonts w:ascii="Times New Roman" w:hAnsi="Times New Roman"/>
          <w:sz w:val="20"/>
        </w:rPr>
        <w:t xml:space="preserve">The Corporation is authorized to issue one class of stock to be designated Common Stock. The total number of shares which the Corporation is authorized to issue is 500,000,000 shares, each with a par value of $0.001 per share, all of which shares shall be Common Stock.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u w:val="single"/>
        </w:rPr>
        <w:t>Common Stock</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b/>
          <w:sz w:val="20"/>
          <w:u w:val="single"/>
        </w:rPr>
        <w:t>Dividend Rights</w:t>
      </w:r>
      <w:r>
        <w:rPr>
          <w:rFonts w:ascii="Times New Roman" w:hAnsi="Times New Roman"/>
          <w:b/>
          <w:sz w:val="20"/>
        </w:rPr>
        <w:t>.</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b/>
          <w:sz w:val="20"/>
          <w:u w:val="single"/>
        </w:rPr>
        <w:t>Liquidation Rights</w:t>
      </w:r>
      <w:r>
        <w:rPr>
          <w:rFonts w:ascii="Times New Roman" w:hAnsi="Times New Roman"/>
          <w:b/>
          <w:sz w:val="20"/>
        </w:rPr>
        <w:t>.</w:t>
      </w:r>
      <w:r>
        <w:rPr>
          <w:rFonts w:ascii="Times New Roman" w:hAnsi="Times New Roman"/>
          <w:sz w:val="20"/>
        </w:rPr>
        <w:t xml:space="preserve"> Upon the liquidation, dissolution or winding up of the Corporation, or the occurrence of a Liquidation Transaction (as defined below), the assets of the Corporation available for distribution to stockholders shall be distributed among the holders of the Common Stock pro rata based on the number of shares of Common Stock held by each. For purposes of this Section 2, a </w:t>
      </w:r>
      <w:r>
        <w:rPr>
          <w:rFonts w:ascii="Times New Roman" w:hAnsi="Times New Roman"/>
          <w:sz w:val="20"/>
          <w:u w:val="single"/>
        </w:rPr>
        <w:t>Liquidation Transaction</w:t>
      </w:r>
      <w:r>
        <w:rPr>
          <w:rFonts w:ascii="Times New Roman" w:hAnsi="Times New Roman"/>
          <w:sz w:val="20"/>
        </w:rPr>
        <w:t xml:space="preserve"> shall be deemed to occur if the Corporation shall sell, lease or otherwise dispose of all or substantially all of the assets of the Corporation, or sell, exclusively license, convey, exchange or otherwise transfer all or substantially all of the intellectual property of the Corporation, or merge with or into or consolidate with any other corporation, limited liability company or other entity (other than a wholly-owned subsidiary of the Corporation), provided that none of the following shall be considered a Liquidation Transaction: (A) a merger effected exclusively for the purpose of changing the domicile of the Corporation or (B) a bona fide equity financing in which the Corporation is the surviving corporation or (C) a transaction in which the securities held by the stockholders of the Corporation immediately prior to the transaction represent 50% or more of the voting power of the surviving corporation following the transaction. Nothing in this Section 2 shall require the distribution to stockholders of anything other than proceeds of such transaction in the event of a merger or consolidation of the Corporation.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b/>
          <w:sz w:val="20"/>
          <w:u w:val="single"/>
        </w:rPr>
        <w:t>Redemption</w:t>
      </w:r>
      <w:r>
        <w:rPr>
          <w:rFonts w:ascii="Times New Roman" w:hAnsi="Times New Roman"/>
          <w:b/>
          <w:sz w:val="20"/>
        </w:rPr>
        <w:t>.</w:t>
      </w:r>
      <w:r>
        <w:rPr>
          <w:rFonts w:ascii="Times New Roman" w:hAnsi="Times New Roman"/>
          <w:sz w:val="20"/>
        </w:rPr>
        <w:t xml:space="preserve"> The Common Stock is not mandatorily redeemable.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b/>
          <w:sz w:val="20"/>
          <w:u w:val="single"/>
        </w:rPr>
        <w:t>Voting Rights and Powers</w:t>
      </w:r>
      <w:r>
        <w:rPr>
          <w:rFonts w:ascii="Times New Roman" w:hAnsi="Times New Roman"/>
          <w:b/>
          <w:sz w:val="20"/>
        </w:rPr>
        <w:t>.</w:t>
      </w:r>
      <w:r>
        <w:rPr>
          <w:rFonts w:ascii="Times New Roman" w:hAnsi="Times New Roman"/>
          <w:sz w:val="20"/>
        </w:rPr>
        <w:t xml:space="preserve"> Each holder of Common Stock shall be entitled to the right to one vote per share of Common Stock, to notice of any stockholders meeting in accordance with the Bylaws of the Corporation, and shall be entitled to vote upon such matters and in such manner as may be provided by law. The number of authorized shares of Common Stock may be increased or decreased (but not below the number of shares thereof then outstanding) by the affirmative vote of the holders of shares of stock of the Corporation representing a majority of the votes represented by all outstanding shares of stock of the Corporation entitled to vote, irrespective of the provisions of Section 242(b)(2) of the Delaware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When the terms of this Restated Certificate refer to a specific agreement (including, for the avoidance of doubt, any Escrow Agreement) or other document or a decision by any body or person that determines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herein, a reference to any specific agreement (including, for the avoidance of doubt, any Escrow Agreement) or other document or any law or regulation (including, for the avoidance of doubt, the Listing Rules) shall be deemed a reference to such agreement, document, law or regulation as amended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herein, the Board of Directors of the Corporation is expressly authorized to make, alter or repeal Bylaws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unless otherwise provided in the Bylaws of the Corporation.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effectiveness of this Amended and Restated Certificate of Incorporation, the directors of the Corporation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provided that no decrease in the number of directors constituting the Board of Directors shall shorten the term of any incumbent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Distributions by the Corporation may be made without regard to preferential dividends arrears amount or any preferential rights, as such terms may be used in Section 500 of the California Corporations Code, and, in such case, for purposes of making any calculation under Section 500 of the California Corporations Code, the amount of any preferential dividends arrears amount or preferential rights shall be deemed to be zero (0).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the Delaware General Corporation Law, as the same exists or as may hereafter be amended, no director or officer of the Corporation shall be personally liable to the Corporation or its stockholders for monetary damages for breach of fiduciary duty as a director or officer.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Paragraph A, officer shall have the meaning provided in Section 102(b)(7) of the Delaware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fullest extent permitted by applicable law, the Corporation is authorized to provide indemnification of, and advancement of expenses to, directors, officers, employees, other agents of the Corporation and any other persons to which the Delaware General Corporation Law permits the Corporation to provide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(C) Neither any amendment nor repeal of this Article IX, nor the adoption of any provision of the Corporations Certificate of Incorporation inconsistent with this Article IX, shall eliminate or reduce the effect of this Article IX in respect of any matter occurring, or any action or proceeding accruing or arising or that, but for this Article IX, would accrue or arise, prior to such amendment, repeal or adoption of an inconsistent provision.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(E) In the event that a director of the Corporation who is also a partner or employee of an entity that is a holder of Preferred Stock and that is in the business of investing and reinvesting in other entities (each, a </w:t>
      </w:r>
      <w:r>
        <w:rPr>
          <w:rFonts w:ascii="Times New Roman" w:hAnsi="Times New Roman"/>
          <w:sz w:val="20"/>
          <w:u w:val="single"/>
        </w:rPr>
        <w:t>Fund</w:t>
      </w:r>
      <w:r>
        <w:rPr>
          <w:rFonts w:ascii="Times New Roman" w:hAnsi="Times New Roman"/>
          <w:sz w:val="20"/>
        </w:rPr>
        <w:t>) acquires knowledge of a potential transaction or matter in such persons capacity as a partner or employee of the Fund and that may be a corporate opportunity for both the Corporation and such Fund (a </w:t>
      </w:r>
      <w:r>
        <w:rPr>
          <w:rFonts w:ascii="Times New Roman" w:hAnsi="Times New Roman"/>
          <w:sz w:val="20"/>
          <w:u w:val="single"/>
        </w:rPr>
        <w:t>Corporate Opportunity</w:t>
      </w:r>
      <w:r>
        <w:rPr>
          <w:rFonts w:ascii="Times New Roman" w:hAnsi="Times New Roman"/>
          <w:sz w:val="20"/>
        </w:rPr>
        <w:t xml:space="preserve">), then (i) such Corporate Opportunity shall belong to such Fund, (ii) such director shall, to the fullest extent permitted by law, be deemed to have fully satisfied and fulfilled his fiduciary duty to the Corporation and its stockholders with respect to such Corporate Opportunity, and (iii) the Corporation, to the fullest extent permitted by law, waives any claim that such Corporate Opportunity constituted a corporate opportunity that should have been presented to the Corporation or any of its affiliates; provided, however, that such director acts in good faith and such opportunity was not offered to such person solely in his or her capacity as a director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Corporation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stockholder, director, officer, employee or agent of the Corporation to the Corporation or the Corporations stockholders, (iii) any action or proceeding asserting a claim against the Corporation arising pursuant to any provision of the Delaware General Corporation Law or the Corporations Restated Certificate or Bylaws or (iv) any action or proceeding asserting a claim governed by the internal affairs doctrine, in each case subject to said Court of Chancery having personal jurisdiction over the indispensable parties named as defendants therein. </w:t>
      </w:r>
    </w:p>
    <w:p>
      <w:pPr>
        <w:pStyle w:val="TextBody"/>
        <w:bidi w:val="0"/>
        <w:spacing w:before="120" w:after="0"/>
        <w:jc w:val="left"/>
        <w:rPr>
          <w:rFonts w:ascii="Times New Roman" w:hAnsi="Times New Roman"/>
          <w:sz w:val="20"/>
        </w:rPr>
      </w:pPr>
      <w:r>
        <w:rPr>
          <w:rFonts w:ascii="Times New Roman" w:hAnsi="Times New Roman"/>
          <w:sz w:val="20"/>
        </w:rPr>
        <w:t xml:space="preserve">(B) Unless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Any action required or permitted to be taken by the stockholders of the Corporation must be effected at a duly called annual or special meeting of stockholders of the Corporation and may not be effected by any consent in writing by such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Notwithstanding anything contained herein or in the Bylaws of the Corporation to the contrary, for such time as the Corporation is admitted to the Official List of ASX Limited (the </w:t>
      </w:r>
      <w:r>
        <w:rPr>
          <w:rFonts w:ascii="Times New Roman" w:hAnsi="Times New Roman"/>
          <w:sz w:val="20"/>
          <w:u w:val="single"/>
        </w:rPr>
        <w:t>ASX</w:t>
      </w:r>
      <w:r>
        <w:rPr>
          <w:rFonts w:ascii="Times New Roman" w:hAnsi="Times New Roman"/>
          <w:sz w:val="20"/>
        </w:rPr>
        <w:t xml:space="preserve">),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(A) Except to the extent of any express written waiver (whether before or after the relevant act is taken) by ASX, if the Listing Rules prohibit an act being done, the Corporation shall not have the power or authority to take such act. </w:t>
      </w:r>
    </w:p>
    <w:p>
      <w:pPr>
        <w:pStyle w:val="TextBody"/>
        <w:bidi w:val="0"/>
        <w:spacing w:before="120" w:after="0"/>
        <w:jc w:val="left"/>
        <w:rPr>
          <w:rFonts w:ascii="Times New Roman" w:hAnsi="Times New Roman"/>
          <w:sz w:val="20"/>
        </w:rPr>
      </w:pPr>
      <w:r>
        <w:rPr>
          <w:rFonts w:ascii="Times New Roman" w:hAnsi="Times New Roman"/>
          <w:sz w:val="20"/>
        </w:rPr>
        <w:t xml:space="preserve">(B) Nothing contained in this Restated Certificate or the Bylaws of the Corporation shall prevent an act being done that the Listing Rules require to be done. </w:t>
      </w:r>
    </w:p>
    <w:p>
      <w:pPr>
        <w:pStyle w:val="TextBody"/>
        <w:bidi w:val="0"/>
        <w:spacing w:before="120" w:after="0"/>
        <w:jc w:val="left"/>
        <w:rPr>
          <w:rFonts w:ascii="Times New Roman" w:hAnsi="Times New Roman"/>
          <w:sz w:val="20"/>
        </w:rPr>
      </w:pPr>
      <w:r>
        <w:rPr>
          <w:rFonts w:ascii="Times New Roman" w:hAnsi="Times New Roman"/>
          <w:sz w:val="20"/>
        </w:rPr>
        <w:t xml:space="preserve">(C) If the Listing Rules require an act to be done or not to be done, the Board of Directors (and any committee or subcommittee thereof) and each officer of the Corporation shall have authority to cause such act to be done or not to be done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(D) If the Listing Rules require this Restated Certificate or the Bylaws of the Corporation to contain a provision and such document does not contain such provision, such applicable document shall, and shall be deemed to, contain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(E) If the Listing Rules require this Restated Certificate or the Bylaws of the Corporation not to contain any provision otherwise contained herein or therein, such provision shall be, and shall be deemed to be, excluded from such document. </w:t>
      </w:r>
    </w:p>
    <w:p>
      <w:pPr>
        <w:pStyle w:val="TextBody"/>
        <w:bidi w:val="0"/>
        <w:spacing w:before="120" w:after="0"/>
        <w:jc w:val="left"/>
        <w:rPr>
          <w:rFonts w:ascii="Times New Roman" w:hAnsi="Times New Roman"/>
          <w:sz w:val="20"/>
        </w:rPr>
      </w:pPr>
      <w:r>
        <w:rPr>
          <w:rFonts w:ascii="Times New Roman" w:hAnsi="Times New Roman"/>
          <w:sz w:val="20"/>
        </w:rPr>
        <w:t xml:space="preserve">(F) If any provision of the Restated Certificate or Bylaws of the Corporation is or becomes inconsistent with the Listing Rules, such inconsistency shall not affect the validity or enforceability of any other provision of such document, and such document shall not contain that provision to the extent of the inconsistency.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If this Restated Certificate provides for more or less than one vote for any share, on any matter, every reference in this Restated Certificate or the Bylaws of the Corporation to a majority or other proportion of stock, voting stock or shares shall refer to such majority or other proportion of the votes of such stock, voting stock or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provision of this Restated Certificate is found to be invalid or unenforceable, such invalidity or unenforceability shall not affect the validity or enforceability of any other provision of this Restated Certificate, and following any determination by a court of competent jurisdiction that any provision of this Restated Certificate is invalid or unenforceable, this Restated Certificate shall contain only such provisions (A) as were in effect immediately prior to such determination and (B) were not so determined to be invalid or unenforceable.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Restated Certificate has been duly adopted by this corporations Board of Directors and stockholders in accordance with the applicable provisions of Sections 228, 242 and 245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Executed at San Mateo, California, on May 29,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Russell Burke</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Russell Burke</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RESTATED CERTIFICATE OF INCORPORATION OF LIFE360, INC. </w:t>
      </w:r>
    </w:p>
    <w:p>
      <w:pPr>
        <w:pStyle w:val="TextBody"/>
        <w:bidi w:val="0"/>
        <w:spacing w:before="0" w:after="0"/>
        <w:jc w:val="right"/>
        <w:rPr>
          <w:rFonts w:ascii="Times New Roman" w:hAnsi="Times New Roman"/>
          <w:b/>
          <w:sz w:val="20"/>
        </w:rPr>
      </w:pPr>
      <w:bookmarkStart w:id="4" w:name="d844406dex32.htm"/>
      <w:bookmarkStart w:id="5" w:name="ksd844406dex32"/>
      <w:bookmarkEnd w:id="4"/>
      <w:bookmarkEnd w:id="5"/>
      <w:r>
        <w:rPr>
          <w:rFonts w:ascii="Times New Roman" w:hAnsi="Times New Roman"/>
          <w:b/>
          <w:sz w:val="20"/>
        </w:rPr>
        <w:t xml:space="preserve">Exhibit 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240" w:after="0"/>
        <w:jc w:val="center"/>
        <w:rPr>
          <w:rFonts w:ascii="Times New Roman" w:hAnsi="Times New Roman"/>
          <w:b/>
          <w:sz w:val="20"/>
        </w:rPr>
      </w:pPr>
      <w:r>
        <w:rPr>
          <w:rFonts w:ascii="Times New Roman" w:hAnsi="Times New Roman"/>
          <w:b/>
          <w:sz w:val="20"/>
        </w:rPr>
        <w:t xml:space="preserve">Approved May 29,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
        <w:gridCol w:w="97"/>
        <w:gridCol w:w="8907"/>
        <w:gridCol w:w="151"/>
        <w:gridCol w:w="96"/>
        <w:gridCol w:w="420"/>
        <w:gridCol w:w="63"/>
      </w:tblGrid>
      <w:tr>
        <w:trPr/>
        <w:tc>
          <w:tcPr>
            <w:tcW w:w="471"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907"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CORPORATE OFFICES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Registered Office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Other Offices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MEETINGS OF STOCKHOLDERS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Place Of Meetings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Annual Meeting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Special Meeting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Notice Of Stockholders Meetings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Manner Of Giving Notice; Affidavit Of Notice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Quorum</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Adjourned Meeting; Notice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Organization; Conduct of Business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Voting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Waiver Of Notice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Record Date For Stockholder Notice; Voting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Proxies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Powers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Number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Election, Qualification And Term Of Office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Resignation And Vacancies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Place Of Meetings; Meetings By Telephone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Regular Meetings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Special Meetings; Notice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Quorum</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Waiver Of Notice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Board Action By Written Consent Without A Meeting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Fees And Compensation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Removal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Chairperson Of The Board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COMMITTEES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47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471"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7" w:type="dxa"/>
            <w:tcBorders/>
            <w:vAlign w:val="bottom"/>
          </w:tcPr>
          <w:p>
            <w:pPr>
              <w:pStyle w:val="TableContents"/>
              <w:bidi w:val="0"/>
              <w:spacing w:before="0" w:after="283"/>
              <w:jc w:val="left"/>
              <w:rPr/>
            </w:pPr>
            <w:r>
              <w:rPr/>
              <w:t> </w:t>
            </w:r>
          </w:p>
        </w:tc>
        <w:tc>
          <w:tcPr>
            <w:tcW w:w="8907" w:type="dxa"/>
            <w:tcBorders/>
            <w:vAlign w:val="bottom"/>
          </w:tcPr>
          <w:p>
            <w:pPr>
              <w:pStyle w:val="TableContents"/>
              <w:bidi w:val="0"/>
              <w:spacing w:before="0" w:after="283"/>
              <w:jc w:val="left"/>
              <w:rPr/>
            </w:pPr>
            <w:r>
              <w:rPr/>
              <w:t>Committees Of Directors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2"/>
        <w:gridCol w:w="102"/>
        <w:gridCol w:w="8887"/>
        <w:gridCol w:w="155"/>
        <w:gridCol w:w="96"/>
        <w:gridCol w:w="420"/>
        <w:gridCol w:w="63"/>
      </w:tblGrid>
      <w:tr>
        <w:trPr/>
        <w:tc>
          <w:tcPr>
            <w:tcW w:w="4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Committee Minutes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Meetings And Action Of Committees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 OFFICERS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Appointment Of 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Subordinate 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Removal And Resignation Of 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Vacancies In Offices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Chief Executive Officer</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President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Vice Presidents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Secretary</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Chief Financial Officer</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Treasurer</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Representation Of Securities Of Other Entities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Authority And Duties Of 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VI INDEMNIFICATION OF DIRECTORS, OFFICERS, EMPLOYEES, AND OTHER AGENTS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Indemnification Of Directors And Officers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Indemnification Of Others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Payment Of Expenses In Advance</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Enforcement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Nature of Rights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Subrogation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Insurance</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Conflicts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VII RECORDS AND REPORTS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Maintenance And Inspection Of Records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Inspection By Directors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VIII GENERAL MATTERS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Checks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Execution Of Corporate Contracts And Instruments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82"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02"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283"/>
              <w:jc w:val="left"/>
              <w:rPr/>
            </w:pPr>
            <w:r>
              <w:rPr/>
              <w:t>Stock Certificates; Partly Paid Shares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
        <w:gridCol w:w="115"/>
        <w:gridCol w:w="8826"/>
        <w:gridCol w:w="166"/>
        <w:gridCol w:w="96"/>
        <w:gridCol w:w="423"/>
        <w:gridCol w:w="63"/>
      </w:tblGrid>
      <w:tr>
        <w:trPr/>
        <w:tc>
          <w:tcPr>
            <w:tcW w:w="516"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82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Special Designation On Certificates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Lost Certificates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Construction; Definitions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Dividends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Fiscal Year</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8.9</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Seal</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8.10</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Transfer Of Stock</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8.11</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Stock Transfer Agreements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8.12</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Registered Stockholders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8.13</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Facsimile Signature</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16" w:type="dxa"/>
            <w:tcBorders/>
            <w:vAlign w:val="center"/>
          </w:tcPr>
          <w:p>
            <w:pPr>
              <w:pStyle w:val="TableContents"/>
              <w:bidi w:val="0"/>
              <w:spacing w:before="0" w:after="283"/>
              <w:jc w:val="left"/>
              <w:rPr>
                <w:sz w:val="4"/>
                <w:szCs w:val="4"/>
              </w:rPr>
            </w:pPr>
            <w:r>
              <w:rPr>
                <w:sz w:val="4"/>
                <w:szCs w:val="4"/>
              </w:rPr>
            </w:r>
          </w:p>
        </w:tc>
        <w:tc>
          <w:tcPr>
            <w:tcW w:w="894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0"/>
              <w:jc w:val="left"/>
              <w:rPr>
                <w:rFonts w:ascii="Times New Roman" w:hAnsi="Times New Roman"/>
                <w:sz w:val="20"/>
              </w:rPr>
            </w:pPr>
            <w:r>
              <w:rPr>
                <w:rFonts w:ascii="Times New Roman" w:hAnsi="Times New Roman"/>
                <w:sz w:val="20"/>
              </w:rPr>
              <w:t>8.14</w:t>
            </w:r>
          </w:p>
        </w:tc>
        <w:tc>
          <w:tcPr>
            <w:tcW w:w="115" w:type="dxa"/>
            <w:tcBorders/>
            <w:vAlign w:val="bottom"/>
          </w:tcPr>
          <w:p>
            <w:pPr>
              <w:pStyle w:val="TableContents"/>
              <w:bidi w:val="0"/>
              <w:spacing w:before="0" w:after="283"/>
              <w:jc w:val="left"/>
              <w:rPr/>
            </w:pPr>
            <w:r>
              <w:rPr/>
              <w:t> </w:t>
            </w:r>
          </w:p>
        </w:tc>
        <w:tc>
          <w:tcPr>
            <w:tcW w:w="8826" w:type="dxa"/>
            <w:tcBorders/>
            <w:vAlign w:val="bottom"/>
          </w:tcPr>
          <w:p>
            <w:pPr>
              <w:pStyle w:val="TableContents"/>
              <w:bidi w:val="0"/>
              <w:spacing w:before="0" w:after="283"/>
              <w:jc w:val="left"/>
              <w:rPr/>
            </w:pPr>
            <w:r>
              <w:rPr/>
              <w:t>Severability</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57" w:type="dxa"/>
            <w:gridSpan w:val="3"/>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4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57" w:type="dxa"/>
            <w:gridSpan w:val="3"/>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4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ASX LISTING RULES</w:t>
            </w:r>
          </w:p>
        </w:tc>
        <w:tc>
          <w:tcPr>
            <w:tcW w:w="1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CORPORATE OFFICES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Registered</w:t>
      </w:r>
      <w:r>
        <w:rPr>
          <w:rFonts w:ascii="Times New Roman" w:hAnsi="Times New Roman"/>
          <w:sz w:val="20"/>
          <w:u w:val="single"/>
        </w:rPr>
        <w:t xml:space="preserve"> </w:t>
      </w:r>
      <w:r>
        <w:rPr>
          <w:rFonts w:ascii="Times New Roman" w:hAnsi="Times New Roman"/>
          <w:b/>
          <w:sz w:val="20"/>
          <w:u w:val="single"/>
        </w:rPr>
        <w:t>Office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registered office of the corporation in the State of Delaware and the name of the registered agent of the corporation at such location shall be as set forth in the corporations certificate of incorporation (as the same may be amended and/or restated from time to time,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Other</w:t>
      </w:r>
      <w:r>
        <w:rPr>
          <w:rFonts w:ascii="Times New Roman" w:hAnsi="Times New Roman"/>
          <w:sz w:val="20"/>
          <w:u w:val="single"/>
        </w:rPr>
        <w:t xml:space="preserve"> </w:t>
      </w:r>
      <w:r>
        <w:rPr>
          <w:rFonts w:ascii="Times New Roman" w:hAnsi="Times New Roman"/>
          <w:b/>
          <w:sz w:val="20"/>
          <w:u w:val="single"/>
        </w:rPr>
        <w:t>Offices.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may at any time establish other offices at any place or places where the corporation is qualified to do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Place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Meetings of stockholders shall be held at any place, within or outside the State of Delaware, designated by the Board of Directors (or its designee). The Board of Directors may, in its sole discretion, determine that the meeting shall not be held at any place, but may instead be held solely by means of remote communication as provided under the General Corporation Law of the State of Delaware (as the same exists or may hereafter be amended, the DGCL). In the absence of any such designation, stockholders meetings shall be held at the registered office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Annual</w:t>
      </w:r>
      <w:r>
        <w:rPr>
          <w:rFonts w:ascii="Times New Roman" w:hAnsi="Times New Roman"/>
          <w:sz w:val="20"/>
          <w:u w:val="single"/>
        </w:rPr>
        <w:t xml:space="preserve"> </w:t>
      </w:r>
      <w:r>
        <w:rPr>
          <w:rFonts w:ascii="Times New Roman" w:hAnsi="Times New Roman"/>
          <w:b/>
          <w:sz w:val="20"/>
          <w:u w:val="single"/>
        </w:rPr>
        <w:t>Meeting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annual meeting of the stockholders shall be held on such date and time as may be designated by the Board of Directors (or its designee). The corporation may postpone, reschedule or cancel any annual meeting of the stockholders previously scheduled by the Board of Directors. Nominations of persons for election to the Board of Directors and proposals of other business to be considered by the stockholders may be made at an annual meeting of the stockholders: (i) pursuant to the corporations notice of meeting of the stockholders (or any supplement thereto); (ii) by or at the direction of the Board of Directors or a duly authorized committee thereof; or (iii) by any stockholder of the corporation who was a stockholder of record at the time of giving the stockholders notice required for in Section 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these bylaws (as the same may be amended and/or restated from time to time, these Bylaws) below and who is a stockholder of record at the time of the annual meeting of the stockholders, who is entitled to vote at the meeting and who complied with the requirements set forth in this Section 2.2. For the avoidance of doubt, clause (iii) above shall be the exclusive means for a stockholder to make nominations and submit other business (other than matters properly included in the corporations notice of meeting of the stockholders and proxy statement under Rule 14a-8 under the Securities Exchange Act of 1934, as amended, and the rules and regulations thereunder (the 1934 Act)) before an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(b) At an annual meeting of the stockholders, only such business shall be conducted as is a proper matter for stockholder action under the DGCL, the certificate of incorporation and these Bylaws, and only such nominations shall be made and such business shall be conducted as shall have been properly brought before the meeting in accordance with this Section 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nominations for the election to the Board of Directors to be properly brought before an annual meeting of the stockholders by a stockholder pursuant to clause (iii) of Section 2.2(a), the stockholder must deliver written notice to the secretary of the corporation (secretary) at the principal executive offices of the corporation on a timely basis as set forth in Section 2.2(b)(3) and must update and supplement the information contained in such written notice (other than the representation required by Section 2.2(b)(4)(E)) on a timely basis as set forth in Section 2.2(c).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list of any pledge of or encumbrances on such shares, (4) the date or dates on which such shares were acquired and the investment intent of such acquisition, (5) the questionnaire, representation and agreement required by Section 2.2(e), completed and signed by such nominee, and (6) all other information concerning such nominee as would be required to be disclosed or provided to the corporation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and the rules and regulations promulgated thereunder (including such persons written consent to being named in a proxy statement and associated proxy card as a nominee and to serving as a director if elected); and (B) all of the information required by Section 2.2(b)(4). The corporation may require any proposed nominee to furnish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283"/>
              <w:jc w:val="left"/>
              <w:rPr/>
            </w:pPr>
            <w:r>
              <w:rPr/>
              <w:t xml:space="preserve">other information as it may reasonably require to determine the eligibility of such proposed nominee to serve as an independent director of the corporation or to serve on any committee or sub-committee of the Board of Directors, in either case, under any applicable stock exchange listing requirements, applicable law or the Policies (as defined below). The number of nominees a stockholder may nominate for election at the annual meeting of the stockholders (or in the case of a stockholder giving the notice on behalf of a beneficial owner, the number of nominees a stockholder may nominate for election at the annual meeting of the stockholders on behalf of such beneficial owner) shall not exceed the number of directors to be elected at such annual meeting. A stockholder may not designate any substitute nominees unless the stockholder provides timely notice of such substitute nominee(s) in accordance with this Section 2.2, in the case of an annual meeting, or Section 2.3, in the case of a special meeting (and such notice contains all of the information, representations, questionnaires and certifications with respect to such substitute nominee(s) that are required by these Bylaws with respect to nominees for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proposals sought to be included in the corporations proxy materials pursuant to Rule 14a-8 under the 1934 Act, for business other than nominations for the election to the Board of Directors to be properly brought before an annual meeting of the stockholders by a stockholder pursuant to clause (iii) of Section 2.2(a), the stockholder must deliver written notice to the secretary at the principal executive offices of the corporation on a timely basis as set forth in Section 2.2(b)(3), and must update and supplement such written notice on a timely basis as set forth in Section 2.2(c). Such stockholders notice shall set forth: (A) as to each matter such stockholder proposes to bring before the meeting: (1) a brief description of the business desired to be brought before the meeting, (2) the text of the proposal or business (including the text of any resolutions proposed for consideration and in the event that such business includes a proposal to amend these Bylaws, the language of the proposed amendment), (3) the reasons for conducting such business at the meeting, and (4)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all of the information required by Section 2.2(b)(4).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timely, the written notice required by Section 2.2(b)(1) or 2.2(b)(2) must be received by the secretary at the principal executive offices of the corporation not later than the close of business on the 90th day, nor earlier than the 120th day, prior to the first anniversary of the immediately preceding years annual meeting of the stockholders; provided, however, that, subject to the last sentence of this Section 2.2(b)(3), in the event that (A) the date of the annual meeting of the stockholders is advanced more than thirty (30) days prior to or delayed by more than thirty (30) days after the first anniversary of the preceding years annual meeting of the stockholders, notice by the stockholder to be timely must be so received not earlier than the 120th day prior to such annual meeting and not later than the close of business on the later of the 90th day prior to such annual meeting or the tenth day following the day on which public announcement of the date of such meeting is first made by the corporation or (B) the corporation did not have an annual meeting of the stockholders in the preceding year, notice by the stockholder to be timely must be so received not later than the tenth day following the day on which public announcement of the date of such meeting is first made. In no event shall an adjournment or postponement (or the public announcement thereof) of an annual meeting of the stockholders for which notice has been given commence a new time period (or extend any time period) for the giving of a stockholders notice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notice required by Sections 2.2(b)(1) or 2.2(b)(2) shall also set forth, as of the date of the notice and as to the stockholder giving the notice,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2.2(b)(4),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other than a revocable proxy given in response to a proxy solicitation made to ten (10) or more persons) between or among any Proponent and any other person or persons (including their names) including, in the case of a nomination, any agreement, arrangement or understanding (whether oral or in writing) relating to any compensation or payments to be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to any such proposed nominees(s); (D) a representation that the stockholder is a holder of record of shares of the corporation at the time of giving notice and will be entitled to vote at the meeting, and that such stockholder (or a qualified representative of the stockholder (meeting the requirements specified in Section 2.2(f)) intends to appear at the meeting to nominate the person or persons specified in the notice (with respect to a notice under Section 2.2(b)(1)) or to propose the business that is specified in the notice (with respect to a notice under Section 2.2(b)(2)); (E) a representation as to whether any Proponent intends or is part of a group which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(F) to the extent known by any Proponent, the name and address of any other stockholder providing financial support or meaningful assistance in support of a nomination or proposal; (G) 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 (H) a certification that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(I) any other information relating to the Proponents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A stockholder providing the written notice required by Section 2.2(b)(1) or Section 2.2(b)(2)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(5) Business Days (as defined below) prior to the meeting and, in the event of any adjournment or postponement thereof, five (5) Business Days prior to such adjourned or postponed meeting; </w:t>
      </w:r>
      <w:r>
        <w:rPr>
          <w:rFonts w:ascii="Times New Roman" w:hAnsi="Times New Roman"/>
          <w:i/>
          <w:sz w:val="20"/>
        </w:rPr>
        <w:t>provided</w:t>
      </w:r>
      <w:r>
        <w:rPr>
          <w:rFonts w:ascii="Times New Roman" w:hAnsi="Times New Roman"/>
          <w:sz w:val="20"/>
        </w:rPr>
        <w:t xml:space="preserve">, that no such update or supplement shall cure or affect the accuracy (or inaccuracy) of any representations made by any Proponent or a nominee or the validity (or invalidity) of any nomination or proposal that failed to comply with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or is rendered invalid as a result of any inaccuracy therein. In the case of an update and supplement pursuant to clause (i) of this Section 2.2(c), such update and supplement shall be received by the secretary at the principal executive offices of the corporation not later than five (5) Business Days after the later of the record date for the determination of stockholders entitled to notice of the meeting or the public announcement of such record date. In the case of an update and supplement pursuant to clause (ii) of this Section 2.2(c),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(or, if there are fewer than two (2) Business Days between the date for the meeting, or the date of the immediately preceding adjournment or postponement thereof, and the date for the adjourned or postponed meeting, not later than the day prior to such adjourned or postponed meeting).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Section 2.2(b)(3) to the contrary, in the event that the number of directors in an Expiring Class (as defined below) to be elected to the Board of Directors at the next annual meeting of the stockholders is increased and there is no public announcement by the corporation naming all of the nominees for the Expiring Class or specifying the size of the increased Expiring Class at least ten (10) days before the last day a stockholder may deliver a notice of nomination in accordance with Section 2.2(b)(3), a stockholders notice required by this Section 2.2 and that complies with the requirements in Section 2.2(b)(1), other than the timing requirements in Section 2.2(b)(3),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day following the day on which such public announcement is first made by the corporation. For purposes of this section, an Expiring Class shall mean a class of directors whose term shall expire at the next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(e) To be eligible to be a nominee for election or re-election as a director of the corporation pursuant to a nomination under clause (iii) of Section 2.2(a), each Proponent must deliver (in accordance with the time periods prescribed for delivery of notice under Section 2.2(b)(3), 2.2(d) or 2.3(h),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(which questionnaire shall be provided by the secretary within five (5) Business Days following a written request therefor by a stockholder of record) and a written representation and agreement (in the form provided by the secretary within five (5) Business Days following a written request therefor by a stockholder of record)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(iii) would be in compliance, if elected as a director of the corporation, and will comply with, all applicable publicly disclosed corporate governance, conflict of interest, confidentiality and stock ownership and trading policies and guidelines of the corporation (the Policies) and (iv) if elected as director of the corporation, intends to serve the entire term until the next meeting at which such candidate would face re-election.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person shall not be eligible for election or re-election as a director at an annual meeting of the stockholders, unless the person is nominated in accordance with Section 2.2(a) and in accordance with the procedures set forth in Section 2.2(b), Section 2.2(c), Section 2.2(d), and Section 2.2(e), as applicable. Only such business shall be conducted at any annual meeting of the stockholders of the corporation as shall have been brought before the meeting in accordance with Section 2.2(a) and in accordance with the procedures set forth in Section 2.2(b) and Section 2.2(c), as applicable. Notwithstanding anything to the contrary in these Bylaws, unless otherwise required by applicable law, if any Proponent (i) provides notice pursuant to Rule 14a-19(b) promulgated under the 1934 Act with respect to any proposed nominee and (ii) subsequently (x) fails to comply with the requirements of Rule 14a-19 promulgated under the 1934 Act (or fails to timely provide reasonable evidence sufficient to demonstrate to the corporation that such Proponent has met the requirements of Rule 14a-19(a)(3) promulgated under the 1934 Act in accordance with the following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annual or special meeting of the stockholders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(5)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 nominee in the corporations proxy statement, notice of meeting or other proxy materials for any annual or special meeting of the stockholders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2.2(a) or otherwise) to have been made pursuant to the corporations notice of meeting (or any supplement thereto) and any such nominee may only be nominated by a stockholder of the corporation pursuant to clause (iii) of Section 2.2(a) or, in the case of a special meeting of the stockholders pursuant to and to the extent permitted under Section 2.3. Except as otherwise required by applicable law, the Board of Directors or the chairperson of the meeting shall have the power to determine whether a nomination or any business proposed to be brought before the meeting was made, or proposed, as the case may be, in accordance with the procedures and requirements set forth in these Bylaws (including, without limitation,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Rule 14a-19 promulgated under the 1934 Act) and, if any proposed nomination or business is not in compliance with these Bylaws, or the Proponent does not act in accordance with the representations required in this Section 2.2,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 Notwithstanding the foregoing provisions of this Section 2.2, unless otherwise required by applicable law, if the stockholder (or a qualified representative of the stockholder) does not appear at the annual meeting of the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2.2, to be considered a qualified representative of the stockholder, a person must be a duly authorized officer, manager, trustee or partner of such stockholder or must be authorized by a writing executed by such stockholder or an electronic transmission delivered by such stockholder to act for such stockholder as proxy at the annual meeting of the stockholders, and such writing or electronic transmission, or a reliable reproduction of the writing or electronic transmission, shall be provided to the secretary at least five (5) Business Days prior to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the foregoing provisions of this Section 2.2, a stockholder must also comply with all applicable requirements of the 1934 Act and the rules and regulations thereunder with respect to the matters set forth in this Section 2.2, and any failure to comply with such requirements shall be deemed a failure to comply with this Section 2.2. Nothing in these Bylaws shall be deemed to affect any rights of stockholders to request inclusion of proposals in the corporations proxy statement pursuant to Rule 14a-8 under the 1934 Act; </w:t>
      </w:r>
      <w:r>
        <w:rPr>
          <w:rFonts w:ascii="Times New Roman" w:hAnsi="Times New Roman"/>
          <w:i/>
          <w:sz w:val="20"/>
        </w:rPr>
        <w:t>provided, however</w:t>
      </w:r>
      <w:r>
        <w:rPr>
          <w:rFonts w:ascii="Times New Roman" w:hAnsi="Times New Roman"/>
          <w:sz w:val="20"/>
        </w:rPr>
        <w:t xml:space="preserve">, that any references in these Bylaws to the 1934 Act or the rules and regulations thereunder are not intended to and shall not limit the requirements applicable to proposals and/or nominations to be considered pursuant to Section 2.2(a)(iii). </w:t>
      </w:r>
    </w:p>
    <w:p>
      <w:pPr>
        <w:pStyle w:val="TextBody"/>
        <w:bidi w:val="0"/>
        <w:spacing w:before="120" w:after="0"/>
        <w:jc w:val="left"/>
        <w:rPr>
          <w:rFonts w:ascii="Times New Roman" w:hAnsi="Times New Roman"/>
          <w:sz w:val="20"/>
        </w:rPr>
      </w:pPr>
      <w:r>
        <w:rPr>
          <w:rFonts w:ascii="Times New Roman" w:hAnsi="Times New Roman"/>
          <w:sz w:val="20"/>
        </w:rPr>
        <w:t xml:space="preserve">(h) For purposes of Sections 2.2 and 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shall have the meanings set forth in Rule 405 under the Securities Act of 1933, as amended (the 1933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Day means any day other than Saturday, Sunday or a day on which banks are closed in New York City,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close of business means 6:00 p.m. local time at the principal executive offices of the corporation on any calendar day, whether or not the day is a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Derivative Transaction means any agreement, arrangement, interest or understanding entered into by, or on behalf or for the benefit of, any Proponent, whether record or beneficial: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which is derived in whole or in part from the value of any class or series of shares or other securities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otherwise provides any direct or indirect opportunity to gain or share in any gain derived from a change in the value of securities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or intent of which is to mitigate loss, manage risk or benefit from changes in value or price with respect to any securities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provides the right to vote (other than a revocable proxy given in response to a proxy solicitation made to ten (10) or more persons) or increase or decrease the voting power of, such Proponent, directly or indirectly, with respect to any securities of the 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agreement, arrangement, interest or understanding may include, without limitation, any option, warrant, debt position, note, bond, convertible security, swap, stock appreciation or similar right, short position, profit interest, hedge, right to dividends, voting agreement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610"/>
        <w:gridCol w:w="8372"/>
      </w:tblGrid>
      <w:tr>
        <w:trPr/>
        <w:tc>
          <w:tcPr>
            <w:tcW w:w="1223"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(5)</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announcement shall mean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Special</w:t>
      </w:r>
      <w:r>
        <w:rPr>
          <w:rFonts w:ascii="Times New Roman" w:hAnsi="Times New Roman"/>
          <w:sz w:val="20"/>
          <w:u w:val="single"/>
        </w:rPr>
        <w:t xml:space="preserve"> </w:t>
      </w:r>
      <w:r>
        <w:rPr>
          <w:rFonts w:ascii="Times New Roman" w:hAnsi="Times New Roman"/>
          <w:b/>
          <w:sz w:val="20"/>
          <w:u w:val="single"/>
        </w:rPr>
        <w:t>Meeting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by law, a special meeting of the stockholders may be called at any time by (i)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(ii) the chairperson of the Board of Directors, (iii) the chief executive officer, or (iv) the president, and shall be called by the secretary following receipt thereby of signed written requests to call a special meeting (each a special meeting request) from the holders of at least 10% of the outstanding shares of stock of the corporation (the requisite percent). Except as otherwise required by law special meetings of stockholders of the corporation may not be called by any other person or persons. The Board of Directors (or its designee) shall determine the time and place, if any, of such special meeting. Upon determination of the time and place, if any, of the meeting, the secretary shall cause a notice of meeting to be given to the stockholders entitled to vote, in accordance with the provisions of Section 2.4. No business may be transacted at such special meeting other than as specified in the notice of meeting </w:t>
      </w:r>
    </w:p>
    <w:p>
      <w:pPr>
        <w:pStyle w:val="TextBody"/>
        <w:bidi w:val="0"/>
        <w:spacing w:before="120" w:after="0"/>
        <w:jc w:val="left"/>
        <w:rPr>
          <w:rFonts w:ascii="Times New Roman" w:hAnsi="Times New Roman"/>
          <w:sz w:val="20"/>
        </w:rPr>
      </w:pPr>
      <w:r>
        <w:rPr>
          <w:rFonts w:ascii="Times New Roman" w:hAnsi="Times New Roman"/>
          <w:sz w:val="20"/>
        </w:rPr>
        <w:t xml:space="preserve">(b) A stockholder may not submit a special meeting request unless such stockholder is a stockholder of record on the record date fixed to determine the stockholders entitled to request the call of a special meeting (an ownership record date). Any stockholder seeking to call a special meeting to transact business shall, by written notice to the secretary, request that the Board of Directors fix an ownership record date. A written request to fix an ownership record date shall include all of the information that must be included in a written request to call a special meeting from a stockholder who is not a solicited stockholder, as set forth in Section 2.3(c), and, within ten (10) days of the secretarys receipt of such request, the Board of Directors may fix an ownership record date, which date shall not precede, and shall not be more than ten (10) days after, the date upon which the resolution fixing such ownership record date is adopted. If an ownership record date is not so fixed by the Board of Directors, the ownership record date shall be the date thereafter that the first written request to call a special meeting containing all the information required by or pursuant to Section 2.3(c) is received by the secretary with respect to the proposed business to be conducted at a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(c) A beneficial owner who wishes to deliver a special meeting request must cause the nominee or other person who serves as the record stockholder of the shares of stock beneficially owned by such beneficial owner to sign and deliver the special meeting request; provided that, if such record stockholder is the nominee for more than one beneficial owner of stock, such record stockholder may deliver a special meeting request solely with respect to the shares of stock beneficially owned by the beneficial owner who is directing such record stockholder to sign such special meeting request. </w:t>
      </w:r>
    </w:p>
    <w:p>
      <w:pPr>
        <w:pStyle w:val="TextBody"/>
        <w:bidi w:val="0"/>
        <w:spacing w:before="120" w:after="0"/>
        <w:jc w:val="left"/>
        <w:rPr>
          <w:rFonts w:ascii="Times New Roman" w:hAnsi="Times New Roman"/>
          <w:sz w:val="20"/>
        </w:rPr>
      </w:pPr>
      <w:r>
        <w:rPr>
          <w:rFonts w:ascii="Times New Roman" w:hAnsi="Times New Roman"/>
          <w:sz w:val="20"/>
        </w:rPr>
        <w:t xml:space="preserve">(d) Each special meeting request shall include the following: (i) the signature of the stockholder of record signing such request and the date such request was signed, (ii) a brief description of the business desired to be brought before the meeting (including any nominees for election or reelection as directors, if applicable) and the reasons for conducting such business at the meeting, and (iii) for each written request submitted by a stockholder other than a solicited stockholder, as to the stockholder signing such request, the other persons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whose behalf such request is submitted and any affiliate that controls either of the foregoing, directly or indirectly (each, a party): (A) the name and address of such party; (B) all of the information required to be disclosed pursuant to Sections 2.2(b)(1), 2.2(b)(2) and 2.2(b)(4) of these Bylaws, as applicable, as though such nominations or proposals were made with respect to an annual meeting of stockholders (which information shall be updated by such party as would be required by Section 2.2(c)); (C) if the stockholder of record submitting such special meeting request is acting solely as a nominee for a beneficial owner, documentary evidence that such beneficial owner is the beneficial owner of the shares for which such special meeting request is submitted; and (D) a statement (1) whether any such party will deliver a proxy statement and form of proxy to holders of, in the case of business other than nominations, at least the percentage of voting power of all of the shares of stock of the corporation required under applicable law to approve such business or (2), in the case of a nomination or nominations, confirming that any such party will solicit proxies in accordance with Rule 14a-19 promulgated under the 1934 Act, and/or (3) whether any such party will otherwise solicit proxies in respect of such nomination(s) (a special meeting solicitation statement). For purposes of this Section, solicited stockholder means any stockholder that has provided a request in response to a solicitation made pursuant to, and in accordance with, Section 14(a) of the 1934 Act by way of a solicitation statement filed on Schedule 14A. </w:t>
      </w:r>
    </w:p>
    <w:p>
      <w:pPr>
        <w:pStyle w:val="TextBody"/>
        <w:bidi w:val="0"/>
        <w:spacing w:before="120" w:after="0"/>
        <w:jc w:val="left"/>
        <w:rPr>
          <w:rFonts w:ascii="Times New Roman" w:hAnsi="Times New Roman"/>
          <w:sz w:val="20"/>
        </w:rPr>
      </w:pPr>
      <w:r>
        <w:rPr>
          <w:rFonts w:ascii="Times New Roman" w:hAnsi="Times New Roman"/>
          <w:sz w:val="20"/>
        </w:rPr>
        <w:t xml:space="preserve">(e) A stockholder may revoke a special meeting request by written revocation delivered to the secretary of the corporation at any time prior to the special meeting; provided, however, that if any such revocation(s) are received by the secretary after the secretarys receipt of special meeting requests from the requisite percent, and as a result of such revocation(s), there no longer are unrevoked requests from the holders of the requisite percent, the Board of Directors shall have the discretion to determine whether or not to proceed with the special meeting, including whether to cancel the meeting. A proposal or nomination shall not be presented for stockholder action at any special meeting if (x) any party who has provided a special meeting solicitation statement does not act in accordance with the representations set for therein; or (y) the proposal or nomination appeared in a special meeting request submitted by a stockholder who did not provide the information required by the preceding clause (d)(iii)(B) of this Section 2.3. If none of the stockholders who submitted a request to call a special meeting (or a qualified representative thereof (meeting the requirements specified in Section 2.2(f))) appears at the special meeting to present the business or nomination(s) to be brought before such meeting that were specified in the special meeting request, the corporation need not present the business or nomination(s) for a vote at the meeting, notwithstanding that proxies in respect of such vote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(f) A special meeting request shall not be valid, and the corporation shall not call a special meeting if (i) the special meeting request relates to an item of business that is not a proper subject for stockholder action under, or that involves a violation of, applicable law or (ii) the special meeting request does not comply with the requirements of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(g) The Board of Directors shall determine the place, if any, and fix the date and time, of any stockholder-requested special meeting, and the date of such special meeting shall be not less than thirty-five (35) nor more than sixty (60) days after the date on which the secretary has received special meeting requests from the holders of the requisite percent. Upon determination of the time and place (if any) of the meeting, the secretary shall cause notice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to the stockholders entitled to vote, in accordance with the provisions of Sections 2.4 and 2.5 of this Article II. Nothing contained in this paragraph of this Section 2.3 shall be construed as limiting, fixing, or affecting the time when a meeting of stockholders called by action of the Board of Directors may be held. Business transacted at a stockholder-requested special meeting shall be limited to: (i) the business stated in the valid special meeting request received from the requisite percent, and (ii) any additional business that the Board of Directors determines to include in the corporations notice of meeting. The Board of Directors may postpone, reschedule or cancel any special meeting of stockholders other than a stockholder-requested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(h) Nominations of persons for election to the Board of Directors may be made at a special meeting of the stockholders at which directors are to be elected (i) by or at the direction of the Board of Directors or a duly authorized committee thereof or (ii) by any stockholder of the corporation (1) who is a stockholder of record at the time of giving notice provided for in this paragraph, who is entitled to vote at the meeting and who complies with Sections 2.2(b)(1), 2.2(b)(4), 2.2(c), 2.2(e) and 2.2(f) or (2) in the case of a stockholder-requested special meeting, pursuant to Section 2.3(a).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the stockholders (other than a stockholder-requested special meeting)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Sections 2.2(b)(1) and 2.2(b)(4) shall be received by the secretary at the principal executive offices of the corporation not earlier than 120 days prior to such special meeting and not later than the close of business on the later of the 90th day prior to such meeting or the tenth day following the day on which the corporation first makes a public announcement of the date of the special meeting at which directors are to be elected. In no event shall an adjournment or a postponement (or a public announcement thereof) of a special meeting of the stockholders for which notice has been given, or the public announcement thereof has been made, commence a new time period (or extend any time period) for the giving of a stockholders notice as described above. Notwithstanding any other provision of these Bylaws, in the case of a stockholder-requested special meeting, no stockholder may nominate a person for election to the Board of Directors or propose any other business to be considered at the meeting, except pursuant to the special meeting request(s) delivered for such special meeting pursuant to Section 2.3(a). </w:t>
      </w:r>
    </w:p>
    <w:p>
      <w:pPr>
        <w:pStyle w:val="TextBody"/>
        <w:bidi w:val="0"/>
        <w:spacing w:before="120" w:after="0"/>
        <w:jc w:val="left"/>
        <w:rPr>
          <w:rFonts w:ascii="Times New Roman" w:hAnsi="Times New Roman"/>
          <w:sz w:val="20"/>
        </w:rPr>
      </w:pPr>
      <w:r>
        <w:rPr>
          <w:rFonts w:ascii="Times New Roman" w:hAnsi="Times New Roman"/>
          <w:sz w:val="20"/>
        </w:rPr>
        <w:t xml:space="preserve">(i) A person shall not be eligible for election or re-election as a director at the special meeting of the stockholders unless the person is nominated either in accordance with clause (i) or clause (ii) of Section 2.3(h). Except as otherwise required by applicable law, the Board of Directors or the chairperson of the meeting shall have the power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required in Section 2.2, to declare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such nomination shall not be presented for stockholder action at the meeting and shall be disregarded (and such nominee disqualified from standing for election or re-election), notwithstanding that the nominee is included (as applicable) as a nominee in the corporations proxy statement, notice of meeting or other proxy materials and notwithstanding that proxies or votes in respect of such nomination may have been solicited or received. Notwithstanding the foregoing provisions of this Section 2.3, unless otherwise required by applicable law, if the stockholder (or a qualified representative of the stockholder (meeting the requirements specified in Section 2.2(f)) does not appear at the special meeting of the stockholders of the corporation to present a nomination, such nomination shall be disregarded (and such nominee disqualified from standing for election or re-election), notwithstanding that the nominee is included (as applicable) as a nominee in the corporations proxy statement, notice of meeting or other proxy materials and notwithstanding that proxies or votes in respect of such nomination may have been solicited or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the foregoing provisions of this Section 2.3, a stockholder must also comply with all applicable requirements of the 1934 Act and the rules and regulations thereunder with respect to matters set forth in this Section 2.3 and any failure to comply with such requirements shall be deemed a failure to comply with this Section 2.3.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to be considered pursuant to Section 2.3(h).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Notice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Stockholders</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applicable law, the certificate of incorporation or these Bylaws, notices of each meeting of the stockholders shall be given in accordance with Section 2.5 of these Bylaws not less than ten (10) nor more than sixty (60) days before the date of the meeting to each stockholder entitled to vote at such meeting as of the record date for determining the stockholders entitled to notice of such meeting. The notice shall specify the place (if any), date and hour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and, in the case of a special meeting of the stockholders, the purpose or purposes for which the meeting is called.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Manner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Giving</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sz w:val="20"/>
          <w:u w:val="single"/>
        </w:rPr>
        <w:t xml:space="preserve"> </w:t>
      </w:r>
      <w:r>
        <w:rPr>
          <w:rFonts w:ascii="Times New Roman" w:hAnsi="Times New Roman"/>
          <w:b/>
          <w:sz w:val="20"/>
          <w:u w:val="single"/>
        </w:rPr>
        <w:t>Affidavit</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Notice shall be deemed given as provided in Section 232 of the DGCL. An affidavit of the secretary or an assistant secretary or of the transfer agent of the corporation that the notice has been given shall, in the absence of fraud, be prima facie evidence of the facts stated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Quorum</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one-third of the shares of stock issued and outstanding and entitled to vote thereat, present in person or represented by proxy, shall constitute a quorum at all meetings of the stockholders for the transaction of business except as otherwise required by law or by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u w:val="single"/>
        </w:rPr>
        <w:t>Adjourned</w:t>
      </w:r>
      <w:r>
        <w:rPr>
          <w:rFonts w:ascii="Times New Roman" w:hAnsi="Times New Roman"/>
          <w:sz w:val="20"/>
          <w:u w:val="single"/>
        </w:rPr>
        <w:t xml:space="preserve"> </w:t>
      </w:r>
      <w:r>
        <w:rPr>
          <w:rFonts w:ascii="Times New Roman" w:hAnsi="Times New Roman"/>
          <w:b/>
          <w:sz w:val="20"/>
          <w:u w:val="single"/>
        </w:rPr>
        <w:t>Meeting;</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meeting of stockholders, whether annual or special, may be adjourned from time to time either by the chairperson of the meeting or by the stockholders, by the affirmative vote of a majority of the votes cast affirmatively or negatively. When a meeting is adjourned to another place (if any), date or time, including an adjournment taken to address a technical failure to convene or continue a meeting using remote communication, unless these Bylaws otherwise require, notice need not be given of the adjourned meeting if the time and place (if any) thereof and the means of remote communications, if any, by which stockholders and proxyholders may be deemed to be present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2.4 and Section 2.5.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as a new record date for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u w:val="single"/>
        </w:rPr>
        <w:t>Organization;</w:t>
      </w:r>
      <w:r>
        <w:rPr>
          <w:rFonts w:ascii="Times New Roman" w:hAnsi="Times New Roman"/>
          <w:sz w:val="20"/>
          <w:u w:val="single"/>
        </w:rPr>
        <w:t xml:space="preserve"> </w:t>
      </w:r>
      <w:r>
        <w:rPr>
          <w:rFonts w:ascii="Times New Roman" w:hAnsi="Times New Roman"/>
          <w:b/>
          <w:sz w:val="20"/>
          <w:u w:val="single"/>
        </w:rPr>
        <w:t>Conduct</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Business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person as the Board of Directors may have designated or, in the absence of such a person, the chief executive officer, or in his or her absence, the president, shall call to order any meeting of the stockholders and act as chairperson of the meeting. In the absence of the secretary of the corporation, the secretary of the meeting shall be such person as the chairperson of the meeting appoints. </w:t>
      </w:r>
    </w:p>
    <w:p>
      <w:pPr>
        <w:pStyle w:val="TextBody"/>
        <w:bidi w:val="0"/>
        <w:spacing w:before="120" w:after="0"/>
        <w:jc w:val="left"/>
        <w:rPr>
          <w:rFonts w:ascii="Times New Roman" w:hAnsi="Times New Roman"/>
          <w:sz w:val="20"/>
        </w:rPr>
      </w:pPr>
      <w:r>
        <w:rPr>
          <w:rFonts w:ascii="Times New Roman" w:hAnsi="Times New Roman"/>
          <w:sz w:val="20"/>
        </w:rPr>
        <w:t xml:space="preserve">(b) The Board of Directors may adopt such rules and regulations for the conduct of any meeting of stockholders as it shall deem appropriate. Except to the extent inconsistent with such rules and regulations as adopted by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procedures for maintaining order at the meeting and the safety of those present; (iii) limitations on attendance at or participation in the meeting to stockholders entitled to vote at the meeting, their duly authorized and constituted proxies, qualified representatives (including rules around who qualifies as such)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The date and time of opening and closing of the polls for each matter upon which the stockholders will vote at the meeting shall be announced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u w:val="single"/>
        </w:rPr>
        <w:t>Voting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entitled to vote at any meeting of the stockholders shall be determined in accordance with the provisions of Section 2.11 of these Bylaws, subject to the provisions of Sections 217 and 218 of the DGCL (relating to voting rights of fiduciaries, pledgors and joint owners of stock and to voting trusts and other 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b/>
          <w:sz w:val="20"/>
          <w:u w:val="single"/>
        </w:rPr>
        <w:t>Waiver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notice is required to be given under any provision of the DGCL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b/>
          <w:sz w:val="20"/>
          <w:u w:val="single"/>
        </w:rPr>
        <w:t>Record</w:t>
      </w:r>
      <w:r>
        <w:rPr>
          <w:rFonts w:ascii="Times New Roman" w:hAnsi="Times New Roman"/>
          <w:sz w:val="20"/>
          <w:u w:val="single"/>
        </w:rPr>
        <w:t xml:space="preserve"> </w:t>
      </w:r>
      <w:r>
        <w:rPr>
          <w:rFonts w:ascii="Times New Roman" w:hAnsi="Times New Roman"/>
          <w:b/>
          <w:sz w:val="20"/>
          <w:u w:val="single"/>
        </w:rPr>
        <w:t>Date</w:t>
      </w:r>
      <w:r>
        <w:rPr>
          <w:rFonts w:ascii="Times New Roman" w:hAnsi="Times New Roman"/>
          <w:sz w:val="20"/>
          <w:u w:val="single"/>
        </w:rPr>
        <w:t xml:space="preserve"> </w:t>
      </w:r>
      <w:r>
        <w:rPr>
          <w:rFonts w:ascii="Times New Roman" w:hAnsi="Times New Roman"/>
          <w:b/>
          <w:sz w:val="20"/>
          <w:u w:val="single"/>
        </w:rPr>
        <w:t>For</w:t>
      </w:r>
      <w:r>
        <w:rPr>
          <w:rFonts w:ascii="Times New Roman" w:hAnsi="Times New Roman"/>
          <w:sz w:val="20"/>
          <w:u w:val="single"/>
        </w:rPr>
        <w:t xml:space="preserve"> </w:t>
      </w:r>
      <w:r>
        <w:rPr>
          <w:rFonts w:ascii="Times New Roman" w:hAnsi="Times New Roman"/>
          <w:b/>
          <w:sz w:val="20"/>
          <w:u w:val="single"/>
        </w:rPr>
        <w:t>Stockholder</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sz w:val="20"/>
          <w:u w:val="single"/>
        </w:rPr>
        <w:t xml:space="preserve"> </w:t>
      </w:r>
      <w:r>
        <w:rPr>
          <w:rFonts w:ascii="Times New Roman" w:hAnsi="Times New Roman"/>
          <w:b/>
          <w:sz w:val="20"/>
          <w:u w:val="single"/>
        </w:rPr>
        <w:t>Voting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in accordance with Section 213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Board of Directors does not so fix a record date: </w:t>
      </w:r>
    </w:p>
    <w:p>
      <w:pPr>
        <w:pStyle w:val="TextBody"/>
        <w:bidi w:val="0"/>
        <w:spacing w:before="120" w:after="0"/>
        <w:jc w:val="left"/>
        <w:rPr>
          <w:rFonts w:ascii="Times New Roman" w:hAnsi="Times New Roman"/>
          <w:sz w:val="20"/>
        </w:rPr>
      </w:pPr>
      <w:r>
        <w:rPr>
          <w:rFonts w:ascii="Times New Roman" w:hAnsi="Times New Roman"/>
          <w:sz w:val="20"/>
        </w:rPr>
        <w:t xml:space="preserve">(a)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120" w:after="0"/>
        <w:jc w:val="left"/>
        <w:rPr>
          <w:rFonts w:ascii="Times New Roman" w:hAnsi="Times New Roman"/>
          <w:sz w:val="20"/>
        </w:rPr>
      </w:pPr>
      <w:r>
        <w:rPr>
          <w:rFonts w:ascii="Times New Roman" w:hAnsi="Times New Roman"/>
          <w:sz w:val="20"/>
        </w:rPr>
        <w:t xml:space="preserve">(b)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the stockholders shall apply to any adjournment of the meeting, if such adjournment is for thirty (30) days or less;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b/>
          <w:sz w:val="20"/>
          <w:u w:val="single"/>
        </w:rPr>
        <w:t>Proxies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stockholder entitled to vote at a meeting of the stockholders may authorize another person or persons to act for such stockholder in accordance with Section 212 of the DGCL, but no such proxy shall be voted or acted upon after three years from its date, unless the proxy provides for a longer period. The revocability of a proxy that states on its face that it is irrevocable shall be governed by the provisions of Section 212(e) of the DGCL. Any stockholder directly or indirectly soliciting proxies from other stockholders must use a proxy card color other than white, which shall be reserved for the exclusive use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b/>
          <w:sz w:val="20"/>
          <w:u w:val="single"/>
        </w:rPr>
        <w:t>Delivery to the Corporation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Irrespective of Section 116 of the DGCL, whenever this Article II requires one or more persons (including a record or beneficial owner of stock) to deliver a document or information to the corporation or any officer, employee or agent thereof (including any notice, request, questionnaire, revocation, representation, letter or other document or agreement), such document or information must be in writing exclusively (and not in an electronic transmission) and delivered exclusively by hand (including, without limitation, overnight courier service) or by certified or registered mail, return receipt requested.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Powers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DGCL and any limitations in the certificate of incorporation or these Bylaws relating to action required to be approved by the stockholders or by the outstanding shares, all corporate powers shall be exercised by or under the direction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Number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number of directors of the corporation shall be fixed by a resolution of the Board of Directors or of the stockholders. No reduction of the authorized number of directors shall have the effect of removing any director before such directors term expires.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u w:val="single"/>
        </w:rPr>
        <w:t>Election,</w:t>
      </w:r>
      <w:r>
        <w:rPr>
          <w:rFonts w:ascii="Times New Roman" w:hAnsi="Times New Roman"/>
          <w:sz w:val="20"/>
          <w:u w:val="single"/>
        </w:rPr>
        <w:t xml:space="preserve"> </w:t>
      </w:r>
      <w:r>
        <w:rPr>
          <w:rFonts w:ascii="Times New Roman" w:hAnsi="Times New Roman"/>
          <w:b/>
          <w:sz w:val="20"/>
          <w:u w:val="single"/>
        </w:rPr>
        <w:t>Qualification</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Term</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Office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wherein other qualifications for directors may be prescribed. The certificate of incorporation or these Bylaws may prescribe other qualifications for directors.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certificate of incorporation, elections of directors need not be by written ballot.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u w:val="single"/>
        </w:rPr>
        <w:t>Resignation</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Vacancies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director may resign at any time upon written notice to the attention of the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w:t>
      </w:r>
    </w:p>
    <w:p>
      <w:pPr>
        <w:pStyle w:val="TextBody"/>
        <w:bidi w:val="0"/>
        <w:spacing w:before="120" w:after="0"/>
        <w:jc w:val="left"/>
        <w:rPr>
          <w:rFonts w:ascii="Times New Roman" w:hAnsi="Times New Roman"/>
          <w:sz w:val="20"/>
        </w:rPr>
      </w:pPr>
      <w:r>
        <w:rPr>
          <w:rFonts w:ascii="Times New Roman" w:hAnsi="Times New Roman"/>
          <w:sz w:val="20"/>
        </w:rPr>
        <w:t xml:space="preserve">(a) Vacancies and newly created directorships resulting from any increase in the authorized number of directors elected by all of the stockholders having the right to vote as a single class shall be filled only by the affirmative vote of a majority of the directors then in office, although less than a quorum, or by a sole remaining director. </w:t>
      </w:r>
    </w:p>
    <w:p>
      <w:pPr>
        <w:pStyle w:val="TextBody"/>
        <w:bidi w:val="0"/>
        <w:spacing w:before="120" w:after="0"/>
        <w:jc w:val="left"/>
        <w:rPr>
          <w:rFonts w:ascii="Times New Roman" w:hAnsi="Times New Roman"/>
          <w:sz w:val="20"/>
        </w:rPr>
      </w:pPr>
      <w:r>
        <w:rPr>
          <w:rFonts w:ascii="Times New Roman" w:hAnsi="Times New Roman"/>
          <w:sz w:val="20"/>
        </w:rPr>
        <w:t xml:space="preserve">(b)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the stockholders in accordance with the provisions of the certificate of incorporation or these Bylaws, or may apply to the Court of Chancery for a decree summarily ordering an election as provided in Section 211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u w:val="single"/>
        </w:rPr>
        <w:t>Place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sz w:val="20"/>
          <w:u w:val="single"/>
        </w:rPr>
        <w:t xml:space="preserve"> </w:t>
      </w:r>
      <w:r>
        <w:rPr>
          <w:rFonts w:ascii="Times New Roman" w:hAnsi="Times New Roman"/>
          <w:b/>
          <w:sz w:val="20"/>
          <w:u w:val="single"/>
        </w:rPr>
        <w:t>By</w:t>
      </w:r>
      <w:r>
        <w:rPr>
          <w:rFonts w:ascii="Times New Roman" w:hAnsi="Times New Roman"/>
          <w:sz w:val="20"/>
          <w:u w:val="single"/>
        </w:rPr>
        <w:t xml:space="preserve"> </w:t>
      </w:r>
      <w:r>
        <w:rPr>
          <w:rFonts w:ascii="Times New Roman" w:hAnsi="Times New Roman"/>
          <w:b/>
          <w:sz w:val="20"/>
          <w:u w:val="single"/>
        </w:rPr>
        <w:t>Telephone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the corporation may hold meetings, both regular and special, at such place (if any)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of Directors, or any committee designated by the Board of Directors, may participate in a meeting of the Board of Directors, or any committee, as applicable,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u w:val="single"/>
        </w:rPr>
        <w:t>Regular</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Regular meetings of the Board of Directors may be held without notice at such time and at such place as shall from time to time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b/>
          <w:sz w:val="20"/>
          <w:u w:val="single"/>
        </w:rPr>
        <w:t>Special</w:t>
      </w:r>
      <w:r>
        <w:rPr>
          <w:rFonts w:ascii="Times New Roman" w:hAnsi="Times New Roman"/>
          <w:sz w:val="20"/>
          <w:u w:val="single"/>
        </w:rPr>
        <w:t xml:space="preserve"> </w:t>
      </w:r>
      <w:r>
        <w:rPr>
          <w:rFonts w:ascii="Times New Roman" w:hAnsi="Times New Roman"/>
          <w:b/>
          <w:sz w:val="20"/>
          <w:u w:val="single"/>
        </w:rPr>
        <w:t>Meetings;</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Special meetings of the Board of Directors for any purpose or purposes may be called at any time by the chairperson of the board, the chief executive officer, the president, any vice president, the secretary or any two directors.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(if any) of special meetings shall be delivered personally or by telephone to each director or sent by first-class mail, facsimile, electronic transmission, or telegram, charges prepaid. If the notice is mailed, it shall be deposited in the United States mail at least four (4)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b/>
          <w:sz w:val="20"/>
          <w:u w:val="single"/>
        </w:rPr>
        <w:t>Quorum</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all meetings of the Board of Directors, a majority of the total number of directors then in office shall constitute a quorum for the transaction of business, provided, however, that a quorum shall not be less than 1/3 of the total number of directors constituting the entire authorized Board of Directors, as determined in Section 3.2 above. If a quorum is not present at any meeting of the Board of Directors, then the directors present thereat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A meeting at which a quorum is initially present may continue to transact business notwithstanding the withdrawal of directors, if any action taken is approved by at least a majority of the required quorum for that meeting.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b/>
          <w:sz w:val="20"/>
          <w:u w:val="single"/>
        </w:rPr>
        <w:t>Waiver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Notice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notice is required to be given under any provision of the DGCL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b/>
          <w:sz w:val="20"/>
          <w:u w:val="single"/>
        </w:rPr>
        <w:t>Board</w:t>
      </w:r>
      <w:r>
        <w:rPr>
          <w:rFonts w:ascii="Times New Roman" w:hAnsi="Times New Roman"/>
          <w:sz w:val="20"/>
          <w:u w:val="single"/>
        </w:rPr>
        <w:t xml:space="preserve"> </w:t>
      </w:r>
      <w:r>
        <w:rPr>
          <w:rFonts w:ascii="Times New Roman" w:hAnsi="Times New Roman"/>
          <w:b/>
          <w:sz w:val="20"/>
          <w:u w:val="single"/>
        </w:rPr>
        <w:t>Action</w:t>
      </w:r>
      <w:r>
        <w:rPr>
          <w:rFonts w:ascii="Times New Roman" w:hAnsi="Times New Roman"/>
          <w:sz w:val="20"/>
          <w:u w:val="single"/>
        </w:rPr>
        <w:t xml:space="preserve"> </w:t>
      </w:r>
      <w:r>
        <w:rPr>
          <w:rFonts w:ascii="Times New Roman" w:hAnsi="Times New Roman"/>
          <w:b/>
          <w:sz w:val="20"/>
          <w:u w:val="single"/>
        </w:rPr>
        <w:t>By</w:t>
      </w:r>
      <w:r>
        <w:rPr>
          <w:rFonts w:ascii="Times New Roman" w:hAnsi="Times New Roman"/>
          <w:sz w:val="20"/>
          <w:u w:val="single"/>
        </w:rPr>
        <w:t xml:space="preserve"> </w:t>
      </w:r>
      <w:r>
        <w:rPr>
          <w:rFonts w:ascii="Times New Roman" w:hAnsi="Times New Roman"/>
          <w:b/>
          <w:sz w:val="20"/>
          <w:u w:val="single"/>
        </w:rPr>
        <w:t>Written</w:t>
      </w:r>
      <w:r>
        <w:rPr>
          <w:rFonts w:ascii="Times New Roman" w:hAnsi="Times New Roman"/>
          <w:sz w:val="20"/>
          <w:u w:val="single"/>
        </w:rPr>
        <w:t xml:space="preserve"> </w:t>
      </w:r>
      <w:r>
        <w:rPr>
          <w:rFonts w:ascii="Times New Roman" w:hAnsi="Times New Roman"/>
          <w:b/>
          <w:sz w:val="20"/>
          <w:u w:val="single"/>
        </w:rPr>
        <w:t>Consent</w:t>
      </w:r>
      <w:r>
        <w:rPr>
          <w:rFonts w:ascii="Times New Roman" w:hAnsi="Times New Roman"/>
          <w:sz w:val="20"/>
          <w:u w:val="single"/>
        </w:rPr>
        <w:t xml:space="preserve"> </w:t>
      </w:r>
      <w:r>
        <w:rPr>
          <w:rFonts w:ascii="Times New Roman" w:hAnsi="Times New Roman"/>
          <w:b/>
          <w:sz w:val="20"/>
          <w:u w:val="single"/>
        </w:rPr>
        <w:t>Without</w:t>
      </w:r>
      <w:r>
        <w:rPr>
          <w:rFonts w:ascii="Times New Roman" w:hAnsi="Times New Roman"/>
          <w:sz w:val="20"/>
          <w:u w:val="single"/>
        </w:rPr>
        <w:t xml:space="preserve"> </w:t>
      </w:r>
      <w:r>
        <w:rPr>
          <w:rFonts w:ascii="Times New Roman" w:hAnsi="Times New Roman"/>
          <w:b/>
          <w:sz w:val="20"/>
          <w:u w:val="single"/>
        </w:rPr>
        <w:t>A</w:t>
      </w:r>
      <w:r>
        <w:rPr>
          <w:rFonts w:ascii="Times New Roman" w:hAnsi="Times New Roman"/>
          <w:sz w:val="20"/>
          <w:u w:val="single"/>
        </w:rPr>
        <w:t xml:space="preserve"> </w:t>
      </w:r>
      <w:r>
        <w:rPr>
          <w:rFonts w:ascii="Times New Roman" w:hAnsi="Times New Roman"/>
          <w:b/>
          <w:sz w:val="20"/>
          <w:u w:val="single"/>
        </w:rPr>
        <w:t>Meeting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After an action is taken, the writing or writings or electronic transmission or transmissions shall be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b/>
          <w:sz w:val="20"/>
          <w:u w:val="single"/>
        </w:rPr>
        <w:t>Fees</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Compensation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b/>
          <w:sz w:val="20"/>
          <w:u w:val="single"/>
        </w:rPr>
        <w:t>Removal Of 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restricted by law, by the certificate of incorporation or by these Bylaws, any director or the entire Board of Directors may be removed only for cause by the holders of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reduction of the authorized number of directors shall have the effect of removing any director prior to the expiration of such directors term of office.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b/>
          <w:sz w:val="20"/>
          <w:u w:val="single"/>
        </w:rPr>
        <w:t>Chairperson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The</w:t>
      </w:r>
      <w:r>
        <w:rPr>
          <w:rFonts w:ascii="Times New Roman" w:hAnsi="Times New Roman"/>
          <w:sz w:val="20"/>
          <w:u w:val="single"/>
        </w:rPr>
        <w:t xml:space="preserve"> </w:t>
      </w:r>
      <w:r>
        <w:rPr>
          <w:rFonts w:ascii="Times New Roman" w:hAnsi="Times New Roman"/>
          <w:b/>
          <w:sz w:val="20"/>
          <w:u w:val="single"/>
        </w:rPr>
        <w:t>Board</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may also have, at the discretion of the Board of Directors, a chairperson of the Board of Directors who shall not be considered an officer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Committees</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designate one or more committees, each committee to consist of one or more of the directors of the corporation. The Board of Directors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Committee</w:t>
      </w:r>
      <w:r>
        <w:rPr>
          <w:rFonts w:ascii="Times New Roman" w:hAnsi="Times New Roman"/>
          <w:sz w:val="20"/>
          <w:u w:val="single"/>
        </w:rPr>
        <w:t xml:space="preserve"> </w:t>
      </w:r>
      <w:r>
        <w:rPr>
          <w:rFonts w:ascii="Times New Roman" w:hAnsi="Times New Roman"/>
          <w:b/>
          <w:sz w:val="20"/>
          <w:u w:val="single"/>
        </w:rPr>
        <w:t>Minutes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of Directors when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Meetings</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Action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Committees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and that special meetings of committees may also be called by resolution of the Board of Directors. The Board of Directors may adopt rules for the government of any committee not inconsistent with the provisions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officers of the corporation shall be a president, a secretary, and a chief financial officer. The corporation may also have, at the discretion of the Board of Directors, a chief executive officer, one or more vice presidents, a treasurer, one or more assistant secretaries, one or more assistant treasurers, and any such other officers as may be appointed in accordance with the provisions of Section 5.2 of these Bylaws.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u w:val="single"/>
        </w:rPr>
        <w:t>Appointment</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officers of the corporation, except such officers as may be appointed in accordance with the provisions of Sections 5.3 or 5.5 of these Bylaws, shall be appointed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u w:val="single"/>
        </w:rPr>
        <w:t>Subordinate</w:t>
      </w:r>
      <w:r>
        <w:rPr>
          <w:rFonts w:ascii="Times New Roman" w:hAnsi="Times New Roman"/>
          <w:sz w:val="20"/>
          <w:u w:val="single"/>
        </w:rPr>
        <w:t xml:space="preserve">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or, if applicable, the chief executive officer or president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u w:val="single"/>
        </w:rPr>
        <w:t>Removal</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Resignation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the Board of Directors or, except in the case of an officer chosen by the Board of Directors, by any officer upon whom the power of removal is conferred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u w:val="single"/>
        </w:rPr>
        <w:t>Vacancies</w:t>
      </w:r>
      <w:r>
        <w:rPr>
          <w:rFonts w:ascii="Times New Roman" w:hAnsi="Times New Roman"/>
          <w:sz w:val="20"/>
          <w:u w:val="single"/>
        </w:rPr>
        <w:t xml:space="preserve"> </w:t>
      </w:r>
      <w:r>
        <w:rPr>
          <w:rFonts w:ascii="Times New Roman" w:hAnsi="Times New Roman"/>
          <w:b/>
          <w:sz w:val="20"/>
          <w:u w:val="single"/>
        </w:rPr>
        <w:t>In</w:t>
      </w:r>
      <w:r>
        <w:rPr>
          <w:rFonts w:ascii="Times New Roman" w:hAnsi="Times New Roman"/>
          <w:sz w:val="20"/>
          <w:u w:val="single"/>
        </w:rPr>
        <w:t xml:space="preserve"> </w:t>
      </w:r>
      <w:r>
        <w:rPr>
          <w:rFonts w:ascii="Times New Roman" w:hAnsi="Times New Roman"/>
          <w:b/>
          <w:sz w:val="20"/>
          <w:u w:val="single"/>
        </w:rPr>
        <w:t>Offices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u w:val="single"/>
        </w:rPr>
        <w:t>Chief</w:t>
      </w:r>
      <w:r>
        <w:rPr>
          <w:rFonts w:ascii="Times New Roman" w:hAnsi="Times New Roman"/>
          <w:sz w:val="20"/>
          <w:u w:val="single"/>
        </w:rPr>
        <w:t xml:space="preserve"> </w:t>
      </w:r>
      <w:r>
        <w:rPr>
          <w:rFonts w:ascii="Times New Roman" w:hAnsi="Times New Roman"/>
          <w:b/>
          <w:sz w:val="20"/>
          <w:u w:val="single"/>
        </w:rPr>
        <w:t>Executive</w:t>
      </w:r>
      <w:r>
        <w:rPr>
          <w:rFonts w:ascii="Times New Roman" w:hAnsi="Times New Roman"/>
          <w:sz w:val="20"/>
          <w:u w:val="single"/>
        </w:rPr>
        <w:t xml:space="preserve"> </w:t>
      </w:r>
      <w:r>
        <w:rPr>
          <w:rFonts w:ascii="Times New Roman" w:hAnsi="Times New Roman"/>
          <w:b/>
          <w:sz w:val="20"/>
          <w:u w:val="single"/>
        </w:rPr>
        <w:t>Officer</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such supervisory powers, if any, as may be given by the Board of Directors to the chairperson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The person serving as chief executive officer shall also be the acting president of the corporation whenever no other person is then serving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u w:val="single"/>
        </w:rPr>
        <w:t>President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such supervisory powers, if any, as may be given by the Board of Directors to the chairperson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the chief executive officer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The person serving as president shall also be the acting chief executive officer of the corporation whenever no other person is then serving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u w:val="single"/>
        </w:rPr>
        <w:t>Vice</w:t>
      </w:r>
      <w:r>
        <w:rPr>
          <w:rFonts w:ascii="Times New Roman" w:hAnsi="Times New Roman"/>
          <w:sz w:val="20"/>
          <w:u w:val="single"/>
        </w:rPr>
        <w:t xml:space="preserve"> </w:t>
      </w:r>
      <w:r>
        <w:rPr>
          <w:rFonts w:ascii="Times New Roman" w:hAnsi="Times New Roman"/>
          <w:b/>
          <w:sz w:val="20"/>
          <w:u w:val="single"/>
        </w:rPr>
        <w:t>Presidents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chief executive officer or the president.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u w:val="single"/>
        </w:rPr>
        <w:t>Secretary</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secretary shall keep or cause to be kept a record of all meetings and actions of directors, committees of directors, and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the chief executive officer, the president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b/>
          <w:sz w:val="20"/>
          <w:u w:val="single"/>
        </w:rPr>
        <w:t>Chief</w:t>
      </w:r>
      <w:r>
        <w:rPr>
          <w:rFonts w:ascii="Times New Roman" w:hAnsi="Times New Roman"/>
          <w:sz w:val="20"/>
          <w:u w:val="single"/>
        </w:rPr>
        <w:t xml:space="preserve"> </w:t>
      </w:r>
      <w:r>
        <w:rPr>
          <w:rFonts w:ascii="Times New Roman" w:hAnsi="Times New Roman"/>
          <w:b/>
          <w:sz w:val="20"/>
          <w:u w:val="single"/>
        </w:rPr>
        <w:t>Financial</w:t>
      </w:r>
      <w:r>
        <w:rPr>
          <w:rFonts w:ascii="Times New Roman" w:hAnsi="Times New Roman"/>
          <w:sz w:val="20"/>
          <w:u w:val="single"/>
        </w:rPr>
        <w:t xml:space="preserve"> </w:t>
      </w:r>
      <w:r>
        <w:rPr>
          <w:rFonts w:ascii="Times New Roman" w:hAnsi="Times New Roman"/>
          <w:b/>
          <w:sz w:val="20"/>
          <w:u w:val="single"/>
        </w:rPr>
        <w:t>Officer</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the chief executive officer, the president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u w:val="single"/>
        </w:rPr>
        <w:t>Treasurer</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the chief executive officer, the president, the chief financial officer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person serving as the treasurer shall also be the acting chief financial officer of the corporation whenever no other person is then serving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u w:val="single"/>
        </w:rPr>
        <w:t>Representation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Securities</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Other</w:t>
      </w:r>
      <w:r>
        <w:rPr>
          <w:rFonts w:ascii="Times New Roman" w:hAnsi="Times New Roman"/>
          <w:sz w:val="20"/>
          <w:u w:val="single"/>
        </w:rPr>
        <w:t xml:space="preserve"> </w:t>
      </w:r>
      <w:r>
        <w:rPr>
          <w:rFonts w:ascii="Times New Roman" w:hAnsi="Times New Roman"/>
          <w:b/>
          <w:sz w:val="20"/>
          <w:u w:val="single"/>
        </w:rPr>
        <w:t>Entities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chairperson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securities of, or interests in, any other entity or entities standing in the name of this corporation. The authority granted herein may be exercised either by such person directly or by any other person authorized to do so by proxy or power of attorney duly executed by the person having such authority.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b/>
          <w:sz w:val="20"/>
          <w:u w:val="single"/>
        </w:rPr>
        <w:t>Authority</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Duties</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authority and duties, all officers of the corporation shall respectively have such authority and perform such duties in the management of the business of the corporation as may be designated from time to time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INDEMNIFICATION OF DIRECTORS, OFFICERS, EMPLOYEES, AND OTHER AGENTS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u w:val="single"/>
        </w:rPr>
        <w:t>Indemnification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Officers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to the maximum extent and in the manner permitted by the DGCL as it presently exists or may hereafter be amended (but, in the case of any such amendment, only to the extent that such amendment permits the corporation to provide broader indemnification rights than such law permitted the corporation to provide prior to such amendment), indemnify any person who was or is made or is threatened to be made a party or is otherwise involved in any action, suit, arbitration, alternative dispute resolution mechanism, investigation, inquiry, judicial, administrative or legislative hearing, or any other threatened, pending or completed proceeding, whether of a civil, criminal, administrative, legislative, investigative or other nature (a proceeding), by reason of the fact that such person is or was a director or officer of the corporation, or, while serving as a director or officer of the corporation, is or was serving at the request of the corporation as a director, officer, employee or agent of another corporation, partnership, joint venture, trust, employee benefit plan or other enterprise (an indemnitee), whether the basis of such proceeding is alleged action in an official capacity as a director or officer of the corporation or in any other capacity while serving as a director or officer of the corporation, against expenses (including attorneys fees), judgments, fines, settlements and other amounts actually and reasonably incurred by such indemnitee in connection such proceeding; provided, however, that the corporation will not be required to indemnify any indemnitee in connection with any proceeding (or part thereof) initiated by such indemnitee unless (i) the proceeding (or part thereof) was authorized by the Board of Directors or (ii) the proceeding (or part thereof) is initiated to enforce rights to indemnification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advancement of expenses as provided under Section 6.4 below or is a compulsory counterclaim brought by such indemnitee. Any reference to an officer of the Corporation in this Section Article VI shall be deemed to refer exclusively to the chief executive officer, president, chief financial officer, secretary, treasurer, and any other officer of the Corporation (including a vice president) elected or appointed as such by the Board of Directors pursuant to Section 5.2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u w:val="single"/>
        </w:rPr>
        <w:t>Indemnification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Others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have the power, to the maximum extent and in the manner permitted by the DGCL, to indemnify and advance expenses to each of its employees and agents (other than directors and officers).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u w:val="single"/>
        </w:rPr>
        <w:t>Payment</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Expenses</w:t>
      </w:r>
      <w:r>
        <w:rPr>
          <w:rFonts w:ascii="Times New Roman" w:hAnsi="Times New Roman"/>
          <w:sz w:val="20"/>
          <w:u w:val="single"/>
        </w:rPr>
        <w:t xml:space="preserve"> </w:t>
      </w:r>
      <w:r>
        <w:rPr>
          <w:rFonts w:ascii="Times New Roman" w:hAnsi="Times New Roman"/>
          <w:b/>
          <w:sz w:val="20"/>
          <w:u w:val="single"/>
        </w:rPr>
        <w:t>In</w:t>
      </w:r>
      <w:r>
        <w:rPr>
          <w:rFonts w:ascii="Times New Roman" w:hAnsi="Times New Roman"/>
          <w:sz w:val="20"/>
          <w:u w:val="single"/>
        </w:rPr>
        <w:t xml:space="preserve"> </w:t>
      </w:r>
      <w:r>
        <w:rPr>
          <w:rFonts w:ascii="Times New Roman" w:hAnsi="Times New Roman"/>
          <w:b/>
          <w:sz w:val="20"/>
          <w:u w:val="single"/>
        </w:rPr>
        <w:t>Advance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Expenses incurred by or on behalf of an indemnitee in defending any proceeding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u w:val="single"/>
        </w:rPr>
        <w:t>Enforcement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request for indemnification under Section 6.1 is not paid in full by the corporation within sixty (60) days, or if a request for an advancement of expenses under Section 6.3 is not paid in full by the corporation within twenty (20) days, after a written request has been received by the corporation, the indemnitee may at any time thereafter bring suit against the corporation in the Delaware Court of Chancery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Section 145(a) or Section 145(b) of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Section 145(a) or Section 145(b) of the DGCL. Neither the failure of the corporation (including its directors who are not parties to such action,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of such directors, independent legal counsel or its stockholders) to have made a determination prior to the commencement of such suit that indemnification of the indemnitee is proper in the circumstances because the indemnitee has met such applicable standard of conduct,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u w:val="single"/>
        </w:rPr>
        <w:t>Nature of Rights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rights to indemnification and advancement of expenses provided by this Article VI shall not be deemed exclusive of any other rights which any person may have or hereafter acquire under any law, provision of the certificate of incorporation or these Bylaws, agreement, vote of stockholders or disinterested directors or otherwise. The rights conferred upon indemnitees in this Article VI shall be contract rights and such rights shall continue as to an indemnitee who has ceased to be a director or officer of the corporation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u w:val="single"/>
        </w:rPr>
        <w:t>Subrogation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payment under this Article VI, the corporation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corporation effectively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b/>
          <w:sz w:val="20"/>
          <w:u w:val="single"/>
        </w:rPr>
        <w:t>Insurance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b/>
          <w:sz w:val="20"/>
          <w:u w:val="single"/>
        </w:rPr>
        <w:t>Conflicts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indemnification or advance shall be made under this Article VI, except where such indemnification or advance is mandated by law or the order, judgment or decree of any court of competent jurisdiction, in any circumstance where it appears: </w:t>
      </w:r>
    </w:p>
    <w:p>
      <w:pPr>
        <w:pStyle w:val="TextBody"/>
        <w:bidi w:val="0"/>
        <w:spacing w:before="120" w:after="0"/>
        <w:jc w:val="left"/>
        <w:rPr>
          <w:rFonts w:ascii="Times New Roman" w:hAnsi="Times New Roman"/>
          <w:sz w:val="20"/>
        </w:rPr>
      </w:pPr>
      <w:r>
        <w:rPr>
          <w:rFonts w:ascii="Times New Roman" w:hAnsi="Times New Roman"/>
          <w:sz w:val="20"/>
        </w:rPr>
        <w:t xml:space="preserve">(a) 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 </w:t>
      </w:r>
    </w:p>
    <w:p>
      <w:pPr>
        <w:pStyle w:val="TextBody"/>
        <w:bidi w:val="0"/>
        <w:spacing w:before="120" w:after="0"/>
        <w:jc w:val="left"/>
        <w:rPr>
          <w:rFonts w:ascii="Times New Roman" w:hAnsi="Times New Roman"/>
          <w:sz w:val="20"/>
        </w:rPr>
      </w:pPr>
      <w:r>
        <w:rPr>
          <w:rFonts w:ascii="Times New Roman" w:hAnsi="Times New Roman"/>
          <w:sz w:val="20"/>
        </w:rPr>
        <w:t xml:space="preserve">(b) That it would be inconsistent with any condition expressly imposed by a court in approving a settlement.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RECORDS AND REPORTS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u w:val="single"/>
        </w:rPr>
        <w:t>Maintenance</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Inspection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Records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A complete list of stockholders entitled to vote at the meeting of the stockholders, arranged in alphabetical order for each class of stock and showing the address of each such stockholder and the number of shares registered in each such stockholders name, shall be open to the examination of any such stockholder for a period of at least ten (10) days ending on the day before the date of a meeting of the stockholders in the manner provided by law, provided, however, if the record date for determining the stockholders entitled to vote is less than ten (10) days before the date of the meeting, the list shall reflect the stockholders entitled to vote as of the 10th day before the meeting date. Nothing herein shall require the corporation to include electronic mail addresses or other electronic contact information on such list. This list shall presumptively determine the identity of the stockholders entitled to vote at the meeting and the number of shares held by each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u w:val="single"/>
        </w:rPr>
        <w:t>Inspection</w:t>
      </w:r>
      <w:r>
        <w:rPr>
          <w:rFonts w:ascii="Times New Roman" w:hAnsi="Times New Roman"/>
          <w:sz w:val="20"/>
          <w:u w:val="single"/>
        </w:rPr>
        <w:t xml:space="preserve"> </w:t>
      </w:r>
      <w:r>
        <w:rPr>
          <w:rFonts w:ascii="Times New Roman" w:hAnsi="Times New Roman"/>
          <w:b/>
          <w:sz w:val="20"/>
          <w:u w:val="single"/>
        </w:rPr>
        <w:t>By</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u w:val="single"/>
        </w:rPr>
        <w:t>Checks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authority granted pursuant to these Bylaws, from time to time, the Board of Directors may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u w:val="single"/>
        </w:rPr>
        <w:t>Execution</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Corporate</w:t>
      </w:r>
      <w:r>
        <w:rPr>
          <w:rFonts w:ascii="Times New Roman" w:hAnsi="Times New Roman"/>
          <w:sz w:val="20"/>
          <w:u w:val="single"/>
        </w:rPr>
        <w:t xml:space="preserve"> </w:t>
      </w:r>
      <w:r>
        <w:rPr>
          <w:rFonts w:ascii="Times New Roman" w:hAnsi="Times New Roman"/>
          <w:b/>
          <w:sz w:val="20"/>
          <w:u w:val="single"/>
        </w:rPr>
        <w:t>Contracts</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Instruments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u w:val="single"/>
        </w:rPr>
        <w:t>Stock</w:t>
      </w:r>
      <w:r>
        <w:rPr>
          <w:rFonts w:ascii="Times New Roman" w:hAnsi="Times New Roman"/>
          <w:sz w:val="20"/>
          <w:u w:val="single"/>
        </w:rPr>
        <w:t xml:space="preserve"> </w:t>
      </w:r>
      <w:r>
        <w:rPr>
          <w:rFonts w:ascii="Times New Roman" w:hAnsi="Times New Roman"/>
          <w:b/>
          <w:sz w:val="20"/>
          <w:u w:val="single"/>
        </w:rPr>
        <w:t>Certificates;</w:t>
      </w:r>
      <w:r>
        <w:rPr>
          <w:rFonts w:ascii="Times New Roman" w:hAnsi="Times New Roman"/>
          <w:sz w:val="20"/>
          <w:u w:val="single"/>
        </w:rPr>
        <w:t xml:space="preserve"> </w:t>
      </w:r>
      <w:r>
        <w:rPr>
          <w:rFonts w:ascii="Times New Roman" w:hAnsi="Times New Roman"/>
          <w:b/>
          <w:sz w:val="20"/>
          <w:u w:val="single"/>
        </w:rPr>
        <w:t>Partly</w:t>
      </w:r>
      <w:r>
        <w:rPr>
          <w:rFonts w:ascii="Times New Roman" w:hAnsi="Times New Roman"/>
          <w:sz w:val="20"/>
          <w:u w:val="single"/>
        </w:rPr>
        <w:t xml:space="preserve"> </w:t>
      </w:r>
      <w:r>
        <w:rPr>
          <w:rFonts w:ascii="Times New Roman" w:hAnsi="Times New Roman"/>
          <w:b/>
          <w:sz w:val="20"/>
          <w:u w:val="single"/>
        </w:rPr>
        <w:t>Paid</w:t>
      </w:r>
      <w:r>
        <w:rPr>
          <w:rFonts w:ascii="Times New Roman" w:hAnsi="Times New Roman"/>
          <w:sz w:val="20"/>
          <w:u w:val="single"/>
        </w:rPr>
        <w:t xml:space="preserve"> </w:t>
      </w:r>
      <w:r>
        <w:rPr>
          <w:rFonts w:ascii="Times New Roman" w:hAnsi="Times New Roman"/>
          <w:b/>
          <w:sz w:val="20"/>
          <w:u w:val="single"/>
        </w:rPr>
        <w:t>Shares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u w:val="single"/>
        </w:rPr>
        <w:t>Special</w:t>
      </w:r>
      <w:r>
        <w:rPr>
          <w:rFonts w:ascii="Times New Roman" w:hAnsi="Times New Roman"/>
          <w:sz w:val="20"/>
          <w:u w:val="single"/>
        </w:rPr>
        <w:t xml:space="preserve"> </w:t>
      </w:r>
      <w:r>
        <w:rPr>
          <w:rFonts w:ascii="Times New Roman" w:hAnsi="Times New Roman"/>
          <w:b/>
          <w:sz w:val="20"/>
          <w:u w:val="single"/>
        </w:rPr>
        <w:t>Designation</w:t>
      </w:r>
      <w:r>
        <w:rPr>
          <w:rFonts w:ascii="Times New Roman" w:hAnsi="Times New Roman"/>
          <w:sz w:val="20"/>
          <w:u w:val="single"/>
        </w:rPr>
        <w:t xml:space="preserve"> </w:t>
      </w:r>
      <w:r>
        <w:rPr>
          <w:rFonts w:ascii="Times New Roman" w:hAnsi="Times New Roman"/>
          <w:b/>
          <w:sz w:val="20"/>
          <w:u w:val="single"/>
        </w:rPr>
        <w:t>On</w:t>
      </w:r>
      <w:r>
        <w:rPr>
          <w:rFonts w:ascii="Times New Roman" w:hAnsi="Times New Roman"/>
          <w:sz w:val="20"/>
          <w:u w:val="single"/>
        </w:rPr>
        <w:t xml:space="preserve"> </w:t>
      </w:r>
      <w:r>
        <w:rPr>
          <w:rFonts w:ascii="Times New Roman" w:hAnsi="Times New Roman"/>
          <w:b/>
          <w:sz w:val="20"/>
          <w:u w:val="single"/>
        </w:rPr>
        <w:t>Certificates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u w:val="single"/>
        </w:rPr>
        <w:t>Lost</w:t>
      </w:r>
      <w:r>
        <w:rPr>
          <w:rFonts w:ascii="Times New Roman" w:hAnsi="Times New Roman"/>
          <w:sz w:val="20"/>
          <w:u w:val="single"/>
        </w:rPr>
        <w:t xml:space="preserve"> </w:t>
      </w:r>
      <w:r>
        <w:rPr>
          <w:rFonts w:ascii="Times New Roman" w:hAnsi="Times New Roman"/>
          <w:b/>
          <w:sz w:val="20"/>
          <w:u w:val="single"/>
        </w:rPr>
        <w:t>Certificates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u w:val="single"/>
        </w:rPr>
        <w:t>Construction;</w:t>
      </w:r>
      <w:r>
        <w:rPr>
          <w:rFonts w:ascii="Times New Roman" w:hAnsi="Times New Roman"/>
          <w:sz w:val="20"/>
          <w:u w:val="single"/>
        </w:rPr>
        <w:t xml:space="preserve">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 If the certificate of incorporation provides for more or less than one vote for any share, on any matter, every reference in these Bylaws to a majority or other proportion of stock, voting stock or shares shall refer to such majority or other proportion of the votes of such stock, voting stock or shares.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u w:val="single"/>
        </w:rPr>
        <w:t>Dividends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 the corporation, subject to any restrictions contained in (a) the DGCL or (b) the certificate of incorporation, may declare and pay dividends upon the shares of its capital stock. Dividends may be paid in cash, in property, or in shares of the corporations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u w:val="single"/>
        </w:rPr>
        <w:t>Fiscal</w:t>
      </w:r>
      <w:r>
        <w:rPr>
          <w:rFonts w:ascii="Times New Roman" w:hAnsi="Times New Roman"/>
          <w:sz w:val="20"/>
          <w:u w:val="single"/>
        </w:rPr>
        <w:t xml:space="preserve"> </w:t>
      </w:r>
      <w:r>
        <w:rPr>
          <w:rFonts w:ascii="Times New Roman" w:hAnsi="Times New Roman"/>
          <w:b/>
          <w:sz w:val="20"/>
          <w:u w:val="single"/>
        </w:rPr>
        <w:t>Year</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fiscal year of the corporation shall be fixed by resolution of the Board of Directors and may be changed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b/>
          <w:sz w:val="20"/>
          <w:u w:val="single"/>
        </w:rPr>
        <w:t>Seal</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may adopt a corporate seal, which may be altered at pleasure, and may use the same by causing it or a facsimile thereof, to be impressed or affixed or in any other manner reproduced.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b/>
          <w:sz w:val="20"/>
          <w:u w:val="single"/>
        </w:rPr>
        <w:t>Transfer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Stock</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b/>
          <w:sz w:val="20"/>
          <w:u w:val="single"/>
        </w:rPr>
        <w:t>Stock</w:t>
      </w:r>
      <w:r>
        <w:rPr>
          <w:rFonts w:ascii="Times New Roman" w:hAnsi="Times New Roman"/>
          <w:sz w:val="20"/>
          <w:u w:val="single"/>
        </w:rPr>
        <w:t xml:space="preserve"> </w:t>
      </w:r>
      <w:r>
        <w:rPr>
          <w:rFonts w:ascii="Times New Roman" w:hAnsi="Times New Roman"/>
          <w:b/>
          <w:sz w:val="20"/>
          <w:u w:val="single"/>
        </w:rPr>
        <w:t>Transfer</w:t>
      </w:r>
      <w:r>
        <w:rPr>
          <w:rFonts w:ascii="Times New Roman" w:hAnsi="Times New Roman"/>
          <w:sz w:val="20"/>
          <w:u w:val="single"/>
        </w:rPr>
        <w:t xml:space="preserve"> </w:t>
      </w:r>
      <w:r>
        <w:rPr>
          <w:rFonts w:ascii="Times New Roman" w:hAnsi="Times New Roman"/>
          <w:b/>
          <w:sz w:val="20"/>
          <w:u w:val="single"/>
        </w:rPr>
        <w:t>Agreements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b/>
          <w:sz w:val="20"/>
          <w:u w:val="single"/>
        </w:rPr>
        <w:t>Registered</w:t>
      </w:r>
      <w:r>
        <w:rPr>
          <w:rFonts w:ascii="Times New Roman" w:hAnsi="Times New Roman"/>
          <w:sz w:val="20"/>
          <w:u w:val="single"/>
        </w:rPr>
        <w:t xml:space="preserve"> </w:t>
      </w:r>
      <w:r>
        <w:rPr>
          <w:rFonts w:ascii="Times New Roman" w:hAnsi="Times New Roman"/>
          <w:b/>
          <w:sz w:val="20"/>
          <w:u w:val="single"/>
        </w:rPr>
        <w:t>Stockholders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b/>
          <w:sz w:val="20"/>
          <w:u w:val="single"/>
        </w:rPr>
        <w:t>Facsimile</w:t>
      </w:r>
      <w:r>
        <w:rPr>
          <w:rFonts w:ascii="Times New Roman" w:hAnsi="Times New Roman"/>
          <w:sz w:val="20"/>
          <w:u w:val="single"/>
        </w:rPr>
        <w:t xml:space="preserve"> </w:t>
      </w:r>
      <w:r>
        <w:rPr>
          <w:rFonts w:ascii="Times New Roman" w:hAnsi="Times New Roman"/>
          <w:b/>
          <w:sz w:val="20"/>
          <w:u w:val="single"/>
        </w:rPr>
        <w:t>Signature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provisions for use of facsimile signatures elsewhere specifically authorized in these Bylaws, facsimile signatures of any officer or officers of the corporation may be used whenever and as authorized by the Board of Directors or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8.14 </w:t>
      </w:r>
      <w:r>
        <w:rPr>
          <w:rFonts w:ascii="Times New Roman" w:hAnsi="Times New Roman"/>
          <w:b/>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any provision of these Bylaws is found to be invalid or unenforceable, such invalidity or unenforceability shall not affect the validity or enforceability of any other provision of these Bylaws, and following any determination by a court of competent jurisdiction that any provision of these Bylaws is invalid or unenforceable, these Bylaws shall contain only such provisions (A) as were in effect immediately prior to such determination and (B) were not so determined to be invalid or unenforceable.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Bylaws of the corporation may be adopted, amended or repealed by the stockholders entitled to vote thereon. Subject to any limitations in the certification of incorporation and except as otherwise set forth herein, the Board of Directors of the Corporation is expressly authorized to make, alter or repeal Bylaws of the Corporation. The fact that such power has been so conferred upon the directors shall not divest the stockholders of the power, nor limit their power to adopt, amend or repeal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ASX LISTING RULES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or in the Certificate of Incorporation to the contrary, for such time as the corporation is admitted to the Official List of ASX Limited (the ASX),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1. Except to the extent of any express written waiver (whether before or after the relevant act is taken) by ASX, if the Official Listing Rules of ASX or any other rules of ASX which are applicable to the corporation from time to time (collectively the Listing Rules) prohibit an act being done, the corporation shall not have the power or authority to take such act. </w:t>
      </w:r>
    </w:p>
    <w:p>
      <w:pPr>
        <w:pStyle w:val="TextBody"/>
        <w:bidi w:val="0"/>
        <w:spacing w:before="120" w:after="0"/>
        <w:jc w:val="left"/>
        <w:rPr>
          <w:rFonts w:ascii="Times New Roman" w:hAnsi="Times New Roman"/>
          <w:sz w:val="20"/>
        </w:rPr>
      </w:pPr>
      <w:r>
        <w:rPr>
          <w:rFonts w:ascii="Times New Roman" w:hAnsi="Times New Roman"/>
          <w:sz w:val="20"/>
        </w:rPr>
        <w:t xml:space="preserve">2. Nothing contained in the Certificate of Incorporation or these Bylaws shall prevent an act being done that the Listing Rules require to be done. </w:t>
      </w:r>
    </w:p>
    <w:p>
      <w:pPr>
        <w:pStyle w:val="TextBody"/>
        <w:bidi w:val="0"/>
        <w:spacing w:before="120" w:after="0"/>
        <w:jc w:val="left"/>
        <w:rPr>
          <w:rFonts w:ascii="Times New Roman" w:hAnsi="Times New Roman"/>
          <w:sz w:val="20"/>
        </w:rPr>
      </w:pPr>
      <w:r>
        <w:rPr>
          <w:rFonts w:ascii="Times New Roman" w:hAnsi="Times New Roman"/>
          <w:sz w:val="20"/>
        </w:rPr>
        <w:t xml:space="preserve">3. If the Listing Rules require an act to be done or not to be done, the Board of Directors (and any committee or subcommittee thereof) and each officer of the corporation shall have authority to cause such act to be done or not to be done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4. If the Listing Rules require the Certificate of Incorporation or these Bylaws to contain a provision and such document does not contain such provision, such applicable document shall, and shall be deemed to, contain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5. If the Listing Rules require the Certificate of Incorporation or these Bylaws not to contain any provision otherwise contained herein or therein, such provision shall be, and shall be deemed to be, excluded from such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If any provision of the Certificate of Incorporation or these Bylaws is or becomes inconsistent with the Listing Rules, such inconsistency shall not affect the validity or enforceability of any other provision of such document, and such document shall not contain that provision to the extent of the inconsistency.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right"/>
        <w:rPr>
          <w:rFonts w:ascii="Times New Roman" w:hAnsi="Times New Roman"/>
          <w:b/>
          <w:sz w:val="20"/>
        </w:rPr>
      </w:pPr>
      <w:bookmarkStart w:id="6" w:name="d844406dex141.htm"/>
      <w:bookmarkStart w:id="7" w:name="ksd844406dex141"/>
      <w:bookmarkEnd w:id="6"/>
      <w:bookmarkEnd w:id="7"/>
      <w:r>
        <w:rPr>
          <w:rFonts w:ascii="Times New Roman" w:hAnsi="Times New Roman"/>
          <w:b/>
          <w:sz w:val="20"/>
        </w:rPr>
        <w:t xml:space="preserve">Exhibit 14.1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3525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428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120" w:after="0"/>
        <w:jc w:val="center"/>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360" w:after="0"/>
        <w:jc w:val="left"/>
        <w:rPr>
          <w:rFonts w:ascii="Times New Roman" w:hAnsi="Times New Roman"/>
          <w:b/>
          <w:sz w:val="20"/>
        </w:rPr>
      </w:pPr>
      <w:r>
        <w:rPr>
          <w:rFonts w:ascii="Times New Roman" w:hAnsi="Times New Roman"/>
          <w:b/>
          <w:sz w:val="20"/>
        </w:rPr>
        <w:t xml:space="preserve">1. OBJECTIVES </w:t>
      </w:r>
    </w:p>
    <w:p>
      <w:pPr>
        <w:pStyle w:val="TextBody"/>
        <w:bidi w:val="0"/>
        <w:spacing w:before="120" w:after="0"/>
        <w:jc w:val="left"/>
        <w:rPr>
          <w:rFonts w:ascii="Times New Roman" w:hAnsi="Times New Roman"/>
          <w:sz w:val="20"/>
        </w:rPr>
      </w:pPr>
      <w:r>
        <w:rPr>
          <w:rFonts w:ascii="Times New Roman" w:hAnsi="Times New Roman"/>
          <w:sz w:val="20"/>
        </w:rPr>
        <w:t>This Code of Business Conduct and Ethics (</w:t>
      </w:r>
      <w:r>
        <w:rPr>
          <w:rFonts w:ascii="Times New Roman" w:hAnsi="Times New Roman"/>
          <w:b/>
          <w:i/>
          <w:sz w:val="20"/>
        </w:rPr>
        <w:t>Code of Conduct</w:t>
      </w:r>
      <w:r>
        <w:rPr>
          <w:rFonts w:ascii="Times New Roman" w:hAnsi="Times New Roman"/>
          <w:sz w:val="20"/>
        </w:rPr>
        <w:t>) has been established by the Board of Directors (the </w:t>
      </w:r>
      <w:r>
        <w:rPr>
          <w:rFonts w:ascii="Times New Roman" w:hAnsi="Times New Roman"/>
          <w:b/>
          <w:i/>
          <w:sz w:val="20"/>
        </w:rPr>
        <w:t>Board</w:t>
      </w:r>
      <w:r>
        <w:rPr>
          <w:rFonts w:ascii="Times New Roman" w:hAnsi="Times New Roman"/>
          <w:sz w:val="20"/>
        </w:rPr>
        <w:t xml:space="preserve">) of </w:t>
      </w:r>
      <w:r>
        <w:rPr>
          <w:rFonts w:ascii="Times New Roman" w:hAnsi="Times New Roman"/>
          <w:b/>
          <w:sz w:val="20"/>
        </w:rPr>
        <w:t>LIFE360 INC.</w:t>
      </w:r>
      <w:r>
        <w:rPr>
          <w:rFonts w:ascii="Times New Roman" w:hAnsi="Times New Roman"/>
          <w:sz w:val="20"/>
        </w:rPr>
        <w:t xml:space="preserve"> (the </w:t>
      </w:r>
      <w:r>
        <w:rPr>
          <w:rFonts w:ascii="Times New Roman" w:hAnsi="Times New Roman"/>
          <w:b/>
          <w:i/>
          <w:sz w:val="20"/>
        </w:rPr>
        <w:t>Company</w:t>
      </w:r>
      <w:r>
        <w:rPr>
          <w:rFonts w:ascii="Times New Roman" w:hAnsi="Times New Roman"/>
          <w:sz w:val="20"/>
        </w:rPr>
        <w:t>) and applies to all Personnel (as defined below) of the Company. The Company is committed to complying with all applicable laws and regulations and to maintaining the highest standards of business conduct and ethics, including in its dealings with third parties. The Code of Conduct is designed to set out the practices which are necessary to maintain confidence in the Companys integrity. In this Code of Conduct, </w:t>
      </w:r>
      <w:r>
        <w:rPr>
          <w:rFonts w:ascii="Times New Roman" w:hAnsi="Times New Roman"/>
          <w:b/>
          <w:i/>
          <w:sz w:val="20"/>
        </w:rPr>
        <w:t>Personnel</w:t>
      </w:r>
      <w:r>
        <w:rPr>
          <w:rFonts w:ascii="Times New Roman" w:hAnsi="Times New Roman"/>
          <w:sz w:val="20"/>
        </w:rPr>
        <w:t xml:space="preserve"> means a director (executive or non-executive), officer, employee, authorized representative, contractor or consultant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objectives of this Code of Conduct are to ensure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standards of corporate and individual behavior are observed by all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 are aware of their responsibilities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persons dealing with the Company, whether it be Personnel, stockholders, vendors or competitors, can be guided by the stated values and practices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complying with this Code of Conduct and requires all Personnel to comply with it. Personnel must comply with both the spirit as well as the letter of all laws and regulations which apply to the Company and the principles of this Code of Conduct. Further, Personnel should always use due care and diligence when fulfilling their role or representing the Company and should not engage in any conduct likely to bring discredit upon the Company. From time to time, we may adopt additional policies or procedures that you are expected to comply with. When there is no stated guideline in the Code of Conduct or otherwise, it is the responsibility of each employee to apply common sense, together with his or her own highest personal ethical standards, in making business decisions. </w:t>
      </w:r>
    </w:p>
    <w:p>
      <w:pPr>
        <w:pStyle w:val="TextBody"/>
        <w:bidi w:val="0"/>
        <w:spacing w:before="360" w:after="0"/>
        <w:jc w:val="left"/>
        <w:rPr>
          <w:rFonts w:ascii="Times New Roman" w:hAnsi="Times New Roman"/>
          <w:b/>
          <w:sz w:val="20"/>
        </w:rPr>
      </w:pPr>
      <w:r>
        <w:rPr>
          <w:rFonts w:ascii="Times New Roman" w:hAnsi="Times New Roman"/>
          <w:b/>
          <w:sz w:val="20"/>
        </w:rPr>
        <w:t xml:space="preserve">2.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Personnel are required to avoid any conflict or potential conflict between their personal interests (including those of their significant others and immediate family) and the best interests of the Company. An actual or potential conflict of interest occurs when a Personnels interests interfere, or appear to interfere, with the Companys interests, such as when an employee is in a position to influence a decision that may result in a personal gain for that employee or for a relative as a result of the Companys business dealings.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Tell us about any potential conflicts you have.</w:t>
            </w:r>
            <w:r>
              <w:rPr>
                <w:rFonts w:ascii="Times New Roman" w:hAnsi="Times New Roman"/>
                <w:sz w:val="20"/>
              </w:rPr>
              <w:t xml:space="preserve"> Conflicts may arise when you, a significant other, or a member of your immediate family has a connection to one of the Companys competitors or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Do not establish or hold a significant financial interest in, or provide services to, any of our competitors, customers, partners or service providers</w:t>
            </w:r>
            <w:r>
              <w:rPr>
                <w:rFonts w:ascii="Times New Roman" w:hAnsi="Times New Roman"/>
                <w:b/>
                <w:sz w:val="20"/>
              </w:rPr>
              <w:t>.</w:t>
            </w:r>
            <w:r>
              <w:rPr>
                <w:rFonts w:ascii="Times New Roman" w:hAnsi="Times New Roman"/>
                <w:sz w:val="20"/>
              </w:rPr>
              <w:t xml:space="preserve"> For example, you cannot advise or serve on the board for a Company competitor, even if you are not compensated for your work. You cannot make a significant investment in one of our competitors,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Do not conduct business on behalf of the Company if you have a personal stake in the outcome (other than the compensation you receive from the Company).</w:t>
            </w:r>
            <w:r>
              <w:rPr>
                <w:rFonts w:ascii="Times New Roman" w:hAnsi="Times New Roman"/>
                <w:sz w:val="20"/>
              </w:rPr>
              <w:t xml:space="preserve"> For example, employees should not transact business on behalf of the Company with a company with which they have a financial interest.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Do not solicit contributions for any charity or political candidate from any person or entity that does business or seeks to do business with 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Transactions with outside firms must be conducted within a framework established and controlled by the executive level of the Company. </w:t>
            </w:r>
            <w:r>
              <w:rPr>
                <w:rFonts w:ascii="Times New Roman" w:hAnsi="Times New Roman"/>
                <w:sz w:val="20"/>
              </w:rPr>
              <w:t xml:space="preserve">Business dealings with outside firms should not result in unusual gains for those firms. Unusual gain refers to bribes, product bonuses, special fringe benefits, unusual price breaks, and other windfalls designed to ultimately benefit either the employer, the employee, or both. Promotional plans that could be interpreted to involve unusual gain require specific executive-level approval. No presumption of guilt is created by the mere existence of a relationship with outside firms. However, if employees have any influence on transactions involving purchases, contracts, or leases, it is imperative that they disclose to an Officer of the Company as soon as possible the existence of any actual or potential conflict of interest so that safeguards can be established to protect all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the examples listed above extend to conflicts involving the personal interests of your family members and significant others.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Personnel to act honestly and ethically, with high standards of personal integrity and in good faith at all times and, in a manner which is in the best interests of the Company as a whole and that would not negatively affect the Companys reputation. </w:t>
      </w:r>
    </w:p>
    <w:p>
      <w:pPr>
        <w:pStyle w:val="TextBody"/>
        <w:bidi w:val="0"/>
        <w:spacing w:before="240" w:after="0"/>
        <w:jc w:val="left"/>
        <w:rPr>
          <w:rFonts w:ascii="Times New Roman" w:hAnsi="Times New Roman"/>
          <w:sz w:val="20"/>
        </w:rPr>
      </w:pPr>
      <w:r>
        <w:rPr>
          <w:rFonts w:ascii="Times New Roman" w:hAnsi="Times New Roman"/>
          <w:sz w:val="20"/>
        </w:rPr>
        <w:t xml:space="preserve">Personnel will conduct their personal activities in a manner that is lawful and avoids possible, actual or perceived conflicts of interest between the Personnels personal interests and those of the Company. Personnel (other than directors) must promptly disclose to the Head of Human Resources or another appropriate member of the human resources team, any actual or potential conflict of interest of which they become aware. Supervisors may not authorize conflict of interest matters or make determinations as to whether a problematic conflict of interest exists without first seeking the approval of the Human Resources department and providing the Human Resources department with a written description of the activity. </w:t>
      </w:r>
    </w:p>
    <w:p>
      <w:pPr>
        <w:pStyle w:val="TextBody"/>
        <w:bidi w:val="0"/>
        <w:spacing w:before="240" w:after="0"/>
        <w:jc w:val="left"/>
        <w:rPr>
          <w:rFonts w:ascii="Times New Roman" w:hAnsi="Times New Roman"/>
          <w:sz w:val="20"/>
        </w:rPr>
      </w:pPr>
      <w:r>
        <w:rPr>
          <w:rFonts w:ascii="Times New Roman" w:hAnsi="Times New Roman"/>
          <w:sz w:val="20"/>
        </w:rPr>
        <w:t xml:space="preserve">Directors (executive and non-executive) must promptly disclose to the Board any actual or potential conflict of interest of which they become aware. </w:t>
      </w:r>
    </w:p>
    <w:p>
      <w:pPr>
        <w:pStyle w:val="TextBody"/>
        <w:bidi w:val="0"/>
        <w:spacing w:before="360" w:after="0"/>
        <w:jc w:val="left"/>
        <w:rPr>
          <w:rFonts w:ascii="Times New Roman" w:hAnsi="Times New Roman"/>
          <w:b/>
          <w:sz w:val="20"/>
        </w:rPr>
      </w:pPr>
      <w:r>
        <w:rPr>
          <w:rFonts w:ascii="Times New Roman" w:hAnsi="Times New Roman"/>
          <w:b/>
          <w:sz w:val="20"/>
        </w:rPr>
        <w:t xml:space="preserve">3. 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Personnel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advantage of the property or information of the Company or its customers, their position or opportunities arising from these, for personal gain or to cause detriment to the Company or its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the Companys assets and property (including the Companys name) or information for any purposes other than lawful purposes authorized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arrangement or participate in any activity that would conflict with the Companys best interests or that would be likely to negatively affect the Companys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disclose any of the Companys information, except where disclosure is permitted or required by any applicable law, the rules and regulations of the Securities and Exchange Commission (</w:t>
            </w:r>
            <w:r>
              <w:rPr>
                <w:rFonts w:ascii="Times New Roman" w:hAnsi="Times New Roman"/>
                <w:b/>
                <w:i/>
                <w:sz w:val="20"/>
              </w:rPr>
              <w:t>SEC</w:t>
            </w:r>
            <w:r>
              <w:rPr>
                <w:rFonts w:ascii="Times New Roman" w:hAnsi="Times New Roman"/>
                <w:sz w:val="20"/>
              </w:rPr>
              <w:t xml:space="preserve">) or ASX Listing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or accept bribes, inducements, commissions or misuse company assets and resources.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 TRADING IN SECURITIES </w:t>
      </w:r>
    </w:p>
    <w:p>
      <w:pPr>
        <w:pStyle w:val="TextBody"/>
        <w:bidi w:val="0"/>
        <w:spacing w:before="120" w:after="0"/>
        <w:jc w:val="left"/>
        <w:rPr>
          <w:rFonts w:ascii="Times New Roman" w:hAnsi="Times New Roman"/>
          <w:sz w:val="20"/>
        </w:rPr>
      </w:pPr>
      <w:r>
        <w:rPr>
          <w:rFonts w:ascii="Times New Roman" w:hAnsi="Times New Roman"/>
          <w:sz w:val="20"/>
        </w:rPr>
        <w:t xml:space="preserve">Personnel will ensure that all trading in securities, including trading in securities of the Company, is in accordance with the Companys Insider Trading Policy. The purpose of the Insider Trading Policy is to ensure compliance with the law and to minimize any risk of Personnel trading in securities while in possession of material non-public information, or tipping others who might make an investment decision on the basis of such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5.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Personnel will maintain and protect the confidentiality of the Companys information, except where disclosure is allowed by the Board or is required by law. Personnel will not make improper use of any information acquired by virtue of being an employee, including the use of that information for personal gain or the gain of another party or in breach of a persons privacy. </w:t>
      </w:r>
    </w:p>
    <w:p>
      <w:pPr>
        <w:pStyle w:val="TextBody"/>
        <w:bidi w:val="0"/>
        <w:spacing w:before="360" w:after="0"/>
        <w:jc w:val="left"/>
        <w:rPr>
          <w:rFonts w:ascii="Times New Roman" w:hAnsi="Times New Roman"/>
          <w:b/>
          <w:sz w:val="20"/>
        </w:rPr>
      </w:pPr>
      <w:r>
        <w:rPr>
          <w:rFonts w:ascii="Times New Roman" w:hAnsi="Times New Roman"/>
          <w:b/>
          <w:sz w:val="20"/>
        </w:rPr>
        <w:t xml:space="preserve">6. PROTECTION AND PROPER USE OF COMPANY ASSETS </w:t>
      </w:r>
    </w:p>
    <w:p>
      <w:pPr>
        <w:pStyle w:val="TextBody"/>
        <w:bidi w:val="0"/>
        <w:spacing w:before="120" w:after="0"/>
        <w:jc w:val="left"/>
        <w:rPr>
          <w:rFonts w:ascii="Times New Roman" w:hAnsi="Times New Roman"/>
          <w:sz w:val="20"/>
        </w:rPr>
      </w:pPr>
      <w:r>
        <w:rPr>
          <w:rFonts w:ascii="Times New Roman" w:hAnsi="Times New Roman"/>
          <w:sz w:val="20"/>
        </w:rPr>
        <w:t xml:space="preserve">All Personnel are expected to protect our assets and ensure their efficient use. Theft, carelessness and waste have a direct impact on our financial condition and results of operations. Our property, such as office supplies, computer equipment, buildings and products, are expected to be used only for legitimate business purposes, although incidental personal use may be permitted. You may not, however, use our corporate name, any brand name or trademark owned or associated with the Company or any letterhead stationery for any personal purpose. </w:t>
      </w:r>
    </w:p>
    <w:p>
      <w:pPr>
        <w:pStyle w:val="TextBody"/>
        <w:bidi w:val="0"/>
        <w:spacing w:before="240" w:after="0"/>
        <w:jc w:val="left"/>
        <w:rPr>
          <w:rFonts w:ascii="Times New Roman" w:hAnsi="Times New Roman"/>
          <w:sz w:val="20"/>
        </w:rPr>
      </w:pPr>
      <w:r>
        <w:rPr>
          <w:rFonts w:ascii="Times New Roman" w:hAnsi="Times New Roman"/>
          <w:sz w:val="20"/>
        </w:rPr>
        <w:t xml:space="preserve">You may not, while acting on behalf of the Company or while using our computing or communications equipment or facilities,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Hack or otherwise improperly access the internal computer system or other resource of another entity without express written authorization from the entity responsible for operating that resource;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any unlawful or illegal act, including harassment, libel, fraud, sending of unsolicited commercial email (also known as spam) or material of objectionable content in violation of applicable law, trafficking in contraband of any kind or espionage.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receive authorization to access another entitys internal computer system or other resource, you must make a permanent record of that authorization so that it may be retrieved for future reference, and you may not exceed the scope of that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Unsolicited commercial email is regulated by law in a number of jurisdictions. If you intend to send unsolicited commercial email to persons outside of the Company, either while acting on our behalf or using our computing or communications equipment or facilities, you should contact the Human Resources department for prior approval. Any misuse or suspected misuse of our assets must be immediately reported to the Human Resources department. </w:t>
      </w:r>
    </w:p>
    <w:p>
      <w:pPr>
        <w:pStyle w:val="TextBody"/>
        <w:bidi w:val="0"/>
        <w:spacing w:before="360" w:after="0"/>
        <w:jc w:val="left"/>
        <w:rPr>
          <w:rFonts w:ascii="Times New Roman" w:hAnsi="Times New Roman"/>
          <w:b/>
          <w:sz w:val="20"/>
        </w:rPr>
      </w:pPr>
      <w:r>
        <w:rPr>
          <w:rFonts w:ascii="Times New Roman" w:hAnsi="Times New Roman"/>
          <w:b/>
          <w:sz w:val="20"/>
        </w:rPr>
        <w:t xml:space="preserve">7. FAIR DEALING </w:t>
      </w:r>
    </w:p>
    <w:p>
      <w:pPr>
        <w:pStyle w:val="TextBody"/>
        <w:bidi w:val="0"/>
        <w:spacing w:before="120" w:after="0"/>
        <w:jc w:val="left"/>
        <w:rPr>
          <w:rFonts w:ascii="Times New Roman" w:hAnsi="Times New Roman"/>
          <w:sz w:val="20"/>
        </w:rPr>
      </w:pPr>
      <w:r>
        <w:rPr>
          <w:rFonts w:ascii="Times New Roman" w:hAnsi="Times New Roman"/>
          <w:sz w:val="20"/>
        </w:rPr>
        <w:t xml:space="preserve">We strive to outperform our competition fairly and honestly through superior performance and not through unethical or illegal business practices. Statements regarding the Companys services must not be untrue, misleading, deceptive or fraudulent. Acquiring proprietary information from others through improper means, possessing trade secret information that was improperly obtained, or inducing improper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disclosure of confidential information from past or present employees of other companies is prohibited. If information is obtained by mistake that may constitute a trade secret or other confidential information of another business, or if you have any questions about the legality of proposed information gathering, you must consult the Human Resources department. </w:t>
      </w:r>
    </w:p>
    <w:p>
      <w:pPr>
        <w:pStyle w:val="TextBody"/>
        <w:bidi w:val="0"/>
        <w:spacing w:before="240" w:after="0"/>
        <w:jc w:val="left"/>
        <w:rPr>
          <w:rFonts w:ascii="Times New Roman" w:hAnsi="Times New Roman"/>
          <w:sz w:val="20"/>
        </w:rPr>
      </w:pPr>
      <w:r>
        <w:rPr>
          <w:rFonts w:ascii="Times New Roman" w:hAnsi="Times New Roman"/>
          <w:sz w:val="20"/>
        </w:rPr>
        <w:t xml:space="preserve">You are expected to deal fairly with our customers, vendors, other Personnel and anyone else with whom you have contact in the course of performing your job. Be aware that the Federal Trade Commission Act provides that unfair methods of competition in commerce, and unfair or deceptive acts or practices in commerce, are declared unlawful. It is a violation of the Federal Trade Commission Act to engage in deceptive, unfair or unethical practices and to make misrepresentations in connection with sales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8. GIFTS AND ENTERTAINMENT </w:t>
      </w:r>
    </w:p>
    <w:p>
      <w:pPr>
        <w:pStyle w:val="TextBody"/>
        <w:bidi w:val="0"/>
        <w:spacing w:before="120" w:after="0"/>
        <w:jc w:val="left"/>
        <w:rPr>
          <w:rFonts w:ascii="Times New Roman" w:hAnsi="Times New Roman"/>
          <w:sz w:val="20"/>
        </w:rPr>
      </w:pPr>
      <w:r>
        <w:rPr>
          <w:rFonts w:ascii="Times New Roman" w:hAnsi="Times New Roman"/>
          <w:sz w:val="20"/>
        </w:rPr>
        <w:t xml:space="preserve">Business gifts and entertainment are meant to create goodwill and sound working relationships and not to gain improper advantage with users or facilitate approvals from government officials. The exchange, as a normal business courtesy, of meals or entertainment (such as tickets to a game or the theatre or a round of golf) is a common and acceptable practice as long as it is not extravagant. Unless express permission is received from the Human Resources department or the Audit Committee, gifts and entertainment cannot be offered, provided or accepted by any employee unless consistent with customary business practices and not (a) of more than token or nominal monetary value, (b) in cash, (c) susceptible of being construed as a bribe or kickback, (d) made or received on a regular or frequent basis or (e) in violation of any laws. This principle applies to our transactions everywhere in the world, even where the practice is widely considered a way of doing business. Personnel should not accept gifts or entertainment that may reasonably be deemed to affect their judgment or actions in the performance of their duties. Our customers, suppliers and the public at large should know that our Personnels judgment is not for sale. </w:t>
      </w:r>
    </w:p>
    <w:p>
      <w:pPr>
        <w:pStyle w:val="TextBody"/>
        <w:bidi w:val="0"/>
        <w:spacing w:before="240" w:after="0"/>
        <w:jc w:val="left"/>
        <w:rPr>
          <w:rFonts w:ascii="Times New Roman" w:hAnsi="Times New Roman"/>
          <w:sz w:val="20"/>
        </w:rPr>
      </w:pPr>
      <w:r>
        <w:rPr>
          <w:rFonts w:ascii="Times New Roman" w:hAnsi="Times New Roman"/>
          <w:sz w:val="20"/>
        </w:rPr>
        <w:t xml:space="preserve">Under some statutes, such as the U.S. Foreign Corrupt Practices Act, giving anything of value to a government official to obtain or retain business or favorable treatment is a criminal act subject to prosecution and conviction. Discuss with the Human Resources department any proposed entertainment or gifts if you are uncertain about their appropriateness. Please also refer to the Companys Anti-Corruption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9. RESPONSIBILITIES TO KEY STAKEHOLDERS </w:t>
      </w:r>
    </w:p>
    <w:p>
      <w:pPr>
        <w:pStyle w:val="TextBody"/>
        <w:bidi w:val="0"/>
        <w:spacing w:before="120" w:after="0"/>
        <w:jc w:val="left"/>
        <w:rPr>
          <w:rFonts w:ascii="Times New Roman" w:hAnsi="Times New Roman"/>
          <w:sz w:val="20"/>
        </w:rPr>
      </w:pPr>
      <w:r>
        <w:rPr>
          <w:rFonts w:ascii="Times New Roman" w:hAnsi="Times New Roman"/>
          <w:sz w:val="20"/>
        </w:rPr>
        <w:t xml:space="preserve">Personnel will always deal with stockholders, customers, vendors, competitors and other Personnel in a manner that is lawful, diligent and fair and with honesty, integrity and respect. </w:t>
      </w:r>
    </w:p>
    <w:p>
      <w:pPr>
        <w:pStyle w:val="TextBody"/>
        <w:bidi w:val="0"/>
        <w:spacing w:before="360" w:after="0"/>
        <w:jc w:val="left"/>
        <w:rPr>
          <w:rFonts w:ascii="Times New Roman" w:hAnsi="Times New Roman"/>
          <w:b/>
          <w:sz w:val="20"/>
        </w:rPr>
      </w:pPr>
      <w:r>
        <w:rPr>
          <w:rFonts w:ascii="Times New Roman" w:hAnsi="Times New Roman"/>
          <w:b/>
          <w:sz w:val="20"/>
        </w:rPr>
        <w:t xml:space="preserve">10. COMPLIANCE WITH APPLICABLE U.S. AND INTERNATIONAL LAWS, REGULATIONS AND RULES </w:t>
      </w:r>
    </w:p>
    <w:p>
      <w:pPr>
        <w:pStyle w:val="TextBody"/>
        <w:bidi w:val="0"/>
        <w:spacing w:before="120" w:after="0"/>
        <w:jc w:val="left"/>
        <w:rPr>
          <w:rFonts w:ascii="Times New Roman" w:hAnsi="Times New Roman"/>
          <w:sz w:val="20"/>
        </w:rPr>
      </w:pPr>
      <w:r>
        <w:rPr>
          <w:rFonts w:ascii="Times New Roman" w:hAnsi="Times New Roman"/>
          <w:sz w:val="20"/>
        </w:rPr>
        <w:t xml:space="preserve">Personnel will always act in a manner that is compliant with all laws and regulations that apply to the Company and its operations. Personnel will act in compliance with this Code of Conduct and the Companys other policies. Personnel will not knowingly participate in any illegal or unethical activity. Personnel shall report any actual or potential breaches of law, this Code of Conduct or the Companys other policies to the Companys Audit and Risk Management Committee. If ever in doubt, Personnel should seek advice immediately. </w:t>
      </w:r>
    </w:p>
    <w:p>
      <w:pPr>
        <w:pStyle w:val="TextBody"/>
        <w:bidi w:val="0"/>
        <w:spacing w:before="240" w:after="0"/>
        <w:jc w:val="left"/>
        <w:rPr>
          <w:rFonts w:ascii="Times New Roman" w:hAnsi="Times New Roman"/>
          <w:sz w:val="20"/>
        </w:rPr>
      </w:pPr>
      <w:r>
        <w:rPr>
          <w:rFonts w:ascii="Times New Roman" w:hAnsi="Times New Roman"/>
          <w:sz w:val="20"/>
        </w:rPr>
        <w:t xml:space="preserve">All Personnel are expected to comply with the applicable laws in all countries to which they travel, in which they operate and where we otherwise do business, including laws prohibiting bribery, corruption or the conduct of business with specified individuals, companies or countries. The fact that, in some countries, certain laws are not enforced or that violation of those laws is not subject to public criticism will not be accepted as an excuse for noncompliance. In addition, we expect Personnel to comply with U.S. laws, rules and regulations governing the conduct of business by its citizens and corporations outside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U.S. laws, rules and regulations, which extend to all our activities outside the U.S.,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Foreign Corrupt Practices Act, which prohibits directly or indirectly giving anything of value to a government official to obtain or retain business or favorable treatment and requires the maintenance of accurate books of account, with all company transactions being properly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trade sanctions and embargoes, which generally prohibit U.S. companies, their subsidiaries, their employees, and third parties acting on their behalf from engaging in transactions or dealings involving certain countries and territories subject to embargoes imposed by the U.S. government (currently, Cuba, Iran, North Korea, Syria, and the Crimea, so-called Donetsk Peoples Republic and so-called Luhansk Peoples Republic regions of Ukraine), as well as specific entities and individuals identified on sanctions lists published by the U.S. Department of the Treasurys Office of Foreign Assets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export controls, which restrict exports from the U.S. and re-exports from other countries of goods, software and technology to many countries, and prohibit transfers of U.S.-origin items to denied persons and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Antiboycott regulations, which prohibit U.S. companies from taking any action that has the effect of furthering or supporting a restrictive trade practice or boycott imposed by a foreign country against a country friendly to the U.S. or against any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a question as to whether an activity is restricted or prohibited, seek assistance from the Head of Human Resources before taking any action, including giving any verbal assurances that might be regulated by international laws. </w:t>
      </w:r>
    </w:p>
    <w:p>
      <w:pPr>
        <w:pStyle w:val="TextBody"/>
        <w:bidi w:val="0"/>
        <w:spacing w:before="360" w:after="0"/>
        <w:jc w:val="left"/>
        <w:rPr>
          <w:rFonts w:ascii="Times New Roman" w:hAnsi="Times New Roman"/>
          <w:b/>
          <w:sz w:val="20"/>
        </w:rPr>
      </w:pPr>
      <w:r>
        <w:rPr>
          <w:rFonts w:ascii="Times New Roman" w:hAnsi="Times New Roman"/>
          <w:b/>
          <w:sz w:val="20"/>
        </w:rPr>
        <w:t xml:space="preserve">11. EMPLOYMENT PRACTICES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aims to provide a work environment in which all Personnel can excel regardless of race, religion, age, disability, gender, sexual preference or marital status. The Company will from time to time maintain various policies relating to the workplace, including the Companys Diversity and Inclusion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12. MAINTENANCE OF CORPORATE BOOKS, RECORDS, DOCUMENTS AND ACCOUNTS; FINANCIAL INTEGRITY; PUBLIC REPORTING </w:t>
      </w:r>
    </w:p>
    <w:p>
      <w:pPr>
        <w:pStyle w:val="TextBody"/>
        <w:bidi w:val="0"/>
        <w:spacing w:before="120" w:after="0"/>
        <w:jc w:val="left"/>
        <w:rPr>
          <w:rFonts w:ascii="Times New Roman" w:hAnsi="Times New Roman"/>
          <w:sz w:val="20"/>
        </w:rPr>
      </w:pPr>
      <w:r>
        <w:rPr>
          <w:rFonts w:ascii="Times New Roman" w:hAnsi="Times New Roman"/>
          <w:sz w:val="20"/>
        </w:rPr>
        <w:t xml:space="preserve">The integrity of our records and public disclosure depends upon the validity, accuracy and completeness of the information supporting the entries to our books of account. Therefore, our corporate and business records should be completed accurately and honestly. The making of false or misleading entries, whether they relate to financial results or test results, is strictly prohibited. Our records serve as a basis for managing our business and are important in meeting our obligations to users, vendors, creditors, Personnel and others with whom we do business. As a result, it is important that our books, records and accounts accurately and fairly reflect, in reasonable detail, our assets, liabilities, revenues, costs and expenses, as well as all transactions and changes in assets and liabilities. We require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entry be made in our books and records that intentionally hides or disguises the nature of any transaction or of any of our liabilities, or misclassifies any transactions as to accounts or accounting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be supported by appropriate documentation;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sales and other commercial transactions be reflected accurately in the documentation for those transactions and all such documentation be reflected accurately in our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 comply with our system of internal controls;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cash or other assets be maintained for any purpose in any unrecorded or off-the-books fund.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accounting records are also relied upon to produce reports for our management, stockholders and creditors, as well as governmental agencies. In particular, we rely upon our accounting and other business and corporate records in preparing periodic and current reports that we file with the SEC and ASX. Securities laws require that these reports provide full, fair, accurate, timely and understandable disclosure and fairly present our financial condition and results of operations. Employees who collect, provide or analyze information for or otherwise contribute in any way in preparing or verifying these reports should strive to ensure that our financial disclosure is accurate and transparent and that our reports contain all of the information about the Company that would be important to enable stockholders and potential investors to assess the soundness and risks of our business and finances and the quality and integrity of our accounting and disclosures. In addition: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Personnel may take or authorize any action that would intentionally cause our financial records or financial disclosure to fail to comply with generally accepted accounting principles, the rules and regulations of the SEC, ASX Listing Rules or other applicable laws,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Personnel must cooperate fully with our Finance and Accounting Department and Internal Auditing Department, if any, as well as our independent public accountants and counsel, respond to their questions with candor and provide them with complete and accurate information to help ensure that our books and records, as well as our reports filed with the SEC or ASX, are accurate and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Personnel, or person acting under their direction, may coerce, manipulate, mislead or fraudulently influence our Finance and Accounting Department, Internal Auditing Department, if any, our independent public accountants or counsel;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Personnel should knowingly make (or cause or encourage any other person to make) any false or misleading statement in any of our reports filed with the SEC or ASX or knowingly omit (or cause or encourage any other person to omit) any information necessary to make the disclosure in any of our reports accurate in all material respects.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Personnel who becomes aware of any departure from these standards has a responsibility to report this knowledge promptly to the Human Resources department, the Audit Committee or otherwise in accordance with the provisions of the Companys Whistleblower Policy. </w:t>
      </w:r>
    </w:p>
    <w:p>
      <w:pPr>
        <w:pStyle w:val="TextBody"/>
        <w:bidi w:val="0"/>
        <w:spacing w:before="360" w:after="0"/>
        <w:jc w:val="left"/>
        <w:rPr>
          <w:rFonts w:ascii="Times New Roman" w:hAnsi="Times New Roman"/>
          <w:b/>
          <w:sz w:val="20"/>
        </w:rPr>
      </w:pPr>
      <w:r>
        <w:rPr>
          <w:rFonts w:ascii="Times New Roman" w:hAnsi="Times New Roman"/>
          <w:b/>
          <w:sz w:val="20"/>
        </w:rPr>
        <w:t xml:space="preserve">13. REPORTING CONCERNS </w:t>
      </w:r>
    </w:p>
    <w:p>
      <w:pPr>
        <w:pStyle w:val="TextBody"/>
        <w:bidi w:val="0"/>
        <w:spacing w:before="120" w:after="0"/>
        <w:jc w:val="left"/>
        <w:rPr>
          <w:rFonts w:ascii="Times New Roman" w:hAnsi="Times New Roman"/>
          <w:sz w:val="20"/>
        </w:rPr>
      </w:pPr>
      <w:r>
        <w:rPr>
          <w:rFonts w:ascii="Times New Roman" w:hAnsi="Times New Roman"/>
          <w:sz w:val="20"/>
        </w:rPr>
        <w:t>The Company requires all Personnel who become aware of an actual or suspected violation of this Code of Conduct to report to the Head of Human Resources or another nominated member of the human resources team (the </w:t>
      </w:r>
      <w:r>
        <w:rPr>
          <w:rFonts w:ascii="Times New Roman" w:hAnsi="Times New Roman"/>
          <w:b/>
          <w:i/>
          <w:sz w:val="20"/>
        </w:rPr>
        <w:t>Reporting Person</w:t>
      </w:r>
      <w:r>
        <w:rPr>
          <w:rFonts w:ascii="Times New Roman" w:hAnsi="Times New Roman"/>
          <w:sz w:val="20"/>
        </w:rPr>
        <w:t xml:space="preserve">). The Company will ensure that Personnel are not disadvantaged in any way for reporting violations of the Code of Conduct or other unlawful or unethical conduct and that matters are dealt with promptly and fairly. Upon receipt and investigation of a notification of an actual or suspected violation of this Code of Conduct, the Reporting Person shall escalate the complaint for further investigation or action to the Chief Executive Officer or the Chair, or otherwise in accordance with the Companys Whistleblower Policy, as appropriate depending on the nature and circumstances of the reported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COMPLIANCE; WAIVERS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Board is responsible for monitoring compliance with this Code of Conduct. Any queries in relation to this Code of Conduct should be referred to the Head of Human Resources or another appropriate member of the human resources team. Failure by Personnel to comply with this Code of Conduct may result in disciplinary action, including in serious cases, the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Any waiver of this Code of Conduct for executive officers (including, where required by applicable laws, our principal executive officer, principal financial officer, principal accounting officer or controller (or persons performing similar functions)) or directors may be authorized only by our Board or, to the extent permitted by the rules of the Nasdaq Stock Market and our Corporate Governance Guidelines, a committee of the Board, and will be disclosed to stockholders as required by applicable laws, rules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15. REVIEW </w:t>
      </w:r>
    </w:p>
    <w:p>
      <w:pPr>
        <w:pStyle w:val="TextBody"/>
        <w:bidi w:val="0"/>
        <w:spacing w:before="120" w:after="0"/>
        <w:jc w:val="left"/>
        <w:rPr>
          <w:rFonts w:ascii="Times New Roman" w:hAnsi="Times New Roman"/>
          <w:sz w:val="20"/>
        </w:rPr>
      </w:pPr>
      <w:r>
        <w:rPr>
          <w:rFonts w:ascii="Times New Roman" w:hAnsi="Times New Roman"/>
          <w:sz w:val="20"/>
        </w:rPr>
        <w:t xml:space="preserve">This Code of Conduct is subject to annual review by the Nominating and Corporate Governance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Conduct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adopts this Employee Conduct and Work Rules Policy to ensure orderly operations and provide the best possible work environment. The Company expects employees and others who are engaged to provide services, such as temporary personnel, consultants and independent contractors, to follow these rules of conduct while on company premises, attending company functions or otherwise performing work-related activity.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maintaining and enforcing this policy to protect the interests and safety of all employees and the organization, the Company complies with all applicable federal, state and local laws and regulations concerning employer/employee rights and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responsible for providing a safe and secure workplace and strives to ensure that all individuals associated with the company are treated in a respectful and fair manner. Though it is not possible to list all forms of behavior that are unacceptable in the workplace, the following are examples of behavior that would be considered infractions of the Companys rules of conduct. Such behavior may result in disciplinary action, up to and including termination of employment. This list is not intended to be exhaustive: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Theft or inappropriate removal or possession of company property or the property of a fellow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Willful destruction of company property or the property of a fellow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under the influence of alcohol or illegal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Possession, distribution, sale, transfer or use of alcohol or illegal drugs in the workplace, while on duty or while operating employer-owned vehicles or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Fighting or threatening violence in the workplace.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Sexual or other harassment.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excessively abusive, threatening or obscene language.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intimidation tactics and making threats.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Sabotaging anothers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malicious, false and harmful statements about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disclosing anothers private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Possession of dangerous or unauthorized materials, such as explosives or firearms, in the workplace.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disclosure of business secrets or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Falsifying company records or reports, including ones time records or the time records of another employee.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considers work rules, guidelines, and work performance important responsibilities. They are essential to the proper management of the business and to ensure that employees work together effectively. When these rules and guidelines are not followed, or an employees work performance is below Company standards, the employee may be subject to discipline, up to and including unpaid suspension and/or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Each employee must follow certain standards and principles when performing his or her job. It is important that employees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Adhere to all applicable federal, state, and local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 our Company assets and values (e.g. being honest with our customers, and treating them with respect, taking care to lock doors, or report suspicious behavior to help prevent theft).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ethical and honest, including providing truthful information in response to any management inquiry or investigation.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8" w:name="d844406dex991.htm"/>
      <w:bookmarkStart w:id="9" w:name="ksd844406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91452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6477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30 May 2024 </w:t>
      </w:r>
    </w:p>
    <w:p>
      <w:pPr>
        <w:pStyle w:val="TextBody"/>
        <w:bidi w:val="0"/>
        <w:spacing w:before="240" w:after="0"/>
        <w:jc w:val="left"/>
        <w:rPr>
          <w:rFonts w:ascii="Times New Roman" w:hAnsi="Times New Roman"/>
          <w:b/>
          <w:sz w:val="20"/>
        </w:rPr>
      </w:pPr>
      <w:r>
        <w:rPr>
          <w:rFonts w:ascii="Times New Roman" w:hAnsi="Times New Roman"/>
          <w:b/>
          <w:sz w:val="20"/>
        </w:rPr>
        <w:t xml:space="preserve">2024 Annual General Meeting  Chairman and CEO speeches </w:t>
      </w:r>
    </w:p>
    <w:p>
      <w:pPr>
        <w:pStyle w:val="TextBody"/>
        <w:bidi w:val="0"/>
        <w:spacing w:before="120" w:after="0"/>
        <w:jc w:val="left"/>
        <w:rPr>
          <w:rFonts w:ascii="Times New Roman" w:hAnsi="Times New Roman"/>
          <w:sz w:val="20"/>
        </w:rPr>
      </w:pPr>
      <w:r>
        <w:rPr>
          <w:rFonts w:ascii="Times New Roman" w:hAnsi="Times New Roman"/>
          <w:sz w:val="20"/>
        </w:rPr>
        <w:t xml:space="preserve">San Francisco area-based Life360, Inc. (Life360 or the Company) (ASX: 360) will today hold its 2024 Annual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Meeting details </w:t>
      </w:r>
    </w:p>
    <w:p>
      <w:pPr>
        <w:pStyle w:val="TextBody"/>
        <w:bidi w:val="0"/>
        <w:spacing w:before="120" w:after="0"/>
        <w:jc w:val="left"/>
        <w:rPr>
          <w:rFonts w:ascii="Times New Roman" w:hAnsi="Times New Roman"/>
          <w:sz w:val="20"/>
        </w:rPr>
      </w:pPr>
      <w:r>
        <w:rPr>
          <w:rFonts w:ascii="Times New Roman" w:hAnsi="Times New Roman"/>
          <w:sz w:val="20"/>
        </w:rPr>
        <w:t xml:space="preserve">The Annual General Meeting will be by way of a virtual meeting which will be held electronically via webcast and an online voting platform. The meeting will take place at 9.30am (Sydney time) today on 30 May 2024 (4.30pm San Francisco time on 29 May 2024). </w:t>
      </w:r>
    </w:p>
    <w:p>
      <w:pPr>
        <w:pStyle w:val="TextBody"/>
        <w:bidi w:val="0"/>
        <w:spacing w:before="240" w:after="0"/>
        <w:jc w:val="left"/>
        <w:rPr>
          <w:rFonts w:ascii="Times New Roman" w:hAnsi="Times New Roman"/>
          <w:sz w:val="20"/>
        </w:rPr>
      </w:pPr>
      <w:r>
        <w:rPr>
          <w:rFonts w:ascii="Times New Roman" w:hAnsi="Times New Roman"/>
          <w:sz w:val="20"/>
        </w:rPr>
        <w:t xml:space="preserve">Shareholders and other interested parties are able to join the virtual AGM </w:t>
      </w:r>
      <w:r>
        <w:rPr>
          <w:rFonts w:ascii="Times New Roman" w:hAnsi="Times New Roman"/>
          <w:b/>
          <w:sz w:val="20"/>
        </w:rPr>
        <w:t>here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Meeting ID: 365-203-827. </w:t>
      </w:r>
    </w:p>
    <w:p>
      <w:pPr>
        <w:pStyle w:val="TextBody"/>
        <w:bidi w:val="0"/>
        <w:spacing w:before="360" w:after="0"/>
        <w:jc w:val="left"/>
        <w:rPr>
          <w:rFonts w:ascii="Times New Roman" w:hAnsi="Times New Roman"/>
          <w:b/>
          <w:sz w:val="20"/>
        </w:rPr>
      </w:pPr>
      <w:r>
        <w:rPr>
          <w:rFonts w:ascii="Times New Roman" w:hAnsi="Times New Roman"/>
          <w:b/>
          <w:sz w:val="20"/>
        </w:rPr>
        <w:t xml:space="preserve">Speeches and Presentations </w:t>
      </w:r>
    </w:p>
    <w:p>
      <w:pPr>
        <w:pStyle w:val="TextBody"/>
        <w:bidi w:val="0"/>
        <w:spacing w:before="120" w:after="0"/>
        <w:jc w:val="left"/>
        <w:rPr>
          <w:rFonts w:ascii="Times New Roman" w:hAnsi="Times New Roman"/>
          <w:sz w:val="20"/>
        </w:rPr>
      </w:pPr>
      <w:r>
        <w:rPr>
          <w:rFonts w:ascii="Times New Roman" w:hAnsi="Times New Roman"/>
          <w:sz w:val="20"/>
        </w:rPr>
        <w:t xml:space="preserve">Accompanying commentary and the presentations from Chairman John Philip Coghlan and Co-Founder and Chief Executive Officer, Chris Hulls, are attached.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Guidance </w:t>
      </w:r>
    </w:p>
    <w:p>
      <w:pPr>
        <w:pStyle w:val="TextBody"/>
        <w:bidi w:val="0"/>
        <w:spacing w:before="120" w:after="0"/>
        <w:jc w:val="left"/>
        <w:rPr>
          <w:rFonts w:ascii="Times New Roman" w:hAnsi="Times New Roman"/>
          <w:sz w:val="20"/>
        </w:rPr>
      </w:pPr>
      <w:r>
        <w:rPr>
          <w:rFonts w:ascii="Times New Roman" w:hAnsi="Times New Roman"/>
          <w:sz w:val="20"/>
        </w:rPr>
        <w:t xml:space="preserve">The CEO presentation includes the following earnings guidance: </w:t>
      </w:r>
    </w:p>
    <w:p>
      <w:pPr>
        <w:pStyle w:val="TextBody"/>
        <w:bidi w:val="0"/>
        <w:spacing w:before="120" w:after="0"/>
        <w:jc w:val="left"/>
        <w:rPr>
          <w:rFonts w:ascii="Times New Roman" w:hAnsi="Times New Roman"/>
          <w:sz w:val="20"/>
        </w:rPr>
      </w:pPr>
      <w:r>
        <w:rPr>
          <w:rFonts w:ascii="Times New Roman" w:hAnsi="Times New Roman"/>
          <w:sz w:val="20"/>
        </w:rPr>
        <w:t xml:space="preserve">Life360 has maintained the FY24 earnings guidance included in the Q124 results announcement released on 10 May 2024 (AEST)/9 May (U.S. PT). </w:t>
      </w:r>
    </w:p>
    <w:p>
      <w:pPr>
        <w:pStyle w:val="TextBody"/>
        <w:bidi w:val="0"/>
        <w:spacing w:before="360" w:after="0"/>
        <w:jc w:val="left"/>
        <w:rPr>
          <w:rFonts w:ascii="Times New Roman" w:hAnsi="Times New Roman"/>
          <w:b/>
          <w:sz w:val="20"/>
        </w:rPr>
      </w:pPr>
      <w:r>
        <w:rPr>
          <w:rFonts w:ascii="Times New Roman" w:hAnsi="Times New Roman"/>
          <w:b/>
          <w:sz w:val="20"/>
        </w:rPr>
        <w:t xml:space="preserve">Authorisation </w:t>
      </w:r>
    </w:p>
    <w:p>
      <w:pPr>
        <w:pStyle w:val="TextBody"/>
        <w:bidi w:val="0"/>
        <w:spacing w:before="120" w:after="0"/>
        <w:jc w:val="left"/>
        <w:rPr>
          <w:rFonts w:ascii="Times New Roman" w:hAnsi="Times New Roman"/>
          <w:sz w:val="20"/>
        </w:rPr>
      </w:pPr>
      <w:r>
        <w:rPr>
          <w:rFonts w:ascii="Times New Roman" w:hAnsi="Times New Roman"/>
          <w:sz w:val="20"/>
        </w:rPr>
        <w:t xml:space="preserve">Chris Hulls, Director, Co-Founder and Chief Executive Officer of Life360 authorised this announcement being given to ASX. </w:t>
      </w:r>
    </w:p>
    <w:p>
      <w:pPr>
        <w:pStyle w:val="TextBody"/>
        <w:bidi w:val="0"/>
        <w:spacing w:before="360" w:after="0"/>
        <w:jc w:val="left"/>
        <w:rPr>
          <w:rFonts w:ascii="Times New Roman" w:hAnsi="Times New Roman"/>
          <w:b/>
          <w:sz w:val="20"/>
        </w:rPr>
      </w:pPr>
      <w:r>
        <w:rPr>
          <w:rFonts w:ascii="Times New Roman" w:hAnsi="Times New Roman"/>
          <w:b/>
          <w:sz w:val="20"/>
        </w:rPr>
        <w:t xml:space="preserve">About Life360 </w:t>
      </w:r>
    </w:p>
    <w:p>
      <w:pPr>
        <w:pStyle w:val="TextBody"/>
        <w:bidi w:val="0"/>
        <w:spacing w:before="120" w:after="0"/>
        <w:jc w:val="left"/>
        <w:rPr>
          <w:rFonts w:ascii="Times New Roman" w:hAnsi="Times New Roman"/>
          <w:sz w:val="20"/>
        </w:rPr>
      </w:pPr>
      <w:r>
        <w:rPr>
          <w:rFonts w:ascii="Times New Roman" w:hAnsi="Times New Roman"/>
          <w:sz w:val="20"/>
        </w:rPr>
        <w:t xml:space="preserve">Life360 delivers peace of mind for families of all types. The companys category leading mobile app and Tile tracking devices help members protect the people, pets and things they care about most, with a range of services including location sharing, safe driver reports, and crash detection with emergency dispatch. Life360 is based in San Mateo and has approximately 66 million monthly active users (MAU) located in more than 150 countries. For more information, please visit life360.com and Tile.com.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39"/>
        <w:gridCol w:w="120"/>
        <w:gridCol w:w="5046"/>
      </w:tblGrid>
      <w:tr>
        <w:trPr/>
        <w:tc>
          <w:tcPr>
            <w:tcW w:w="50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46" w:type="dxa"/>
            <w:tcBorders/>
            <w:vAlign w:val="center"/>
          </w:tcPr>
          <w:p>
            <w:pPr>
              <w:pStyle w:val="TableContents"/>
              <w:bidi w:val="0"/>
              <w:spacing w:before="0" w:after="283"/>
              <w:jc w:val="left"/>
              <w:rPr>
                <w:sz w:val="4"/>
                <w:szCs w:val="4"/>
              </w:rPr>
            </w:pPr>
            <w:r>
              <w:rPr>
                <w:sz w:val="4"/>
                <w:szCs w:val="4"/>
              </w:rPr>
            </w:r>
          </w:p>
        </w:tc>
      </w:tr>
      <w:tr>
        <w:trPr/>
        <w:tc>
          <w:tcPr>
            <w:tcW w:w="5039" w:type="dxa"/>
            <w:tcBorders/>
          </w:tcPr>
          <w:p>
            <w:pPr>
              <w:pStyle w:val="TableContents"/>
              <w:bidi w:val="0"/>
              <w:spacing w:before="0" w:after="283"/>
              <w:jc w:val="left"/>
              <w:rPr>
                <w:b/>
              </w:rPr>
            </w:pPr>
            <w:r>
              <w:rPr>
                <w:b/>
              </w:rPr>
              <w:t>Contacts</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sz w:val="4"/>
                <w:szCs w:val="4"/>
              </w:rPr>
            </w:pPr>
            <w:r>
              <w:rPr>
                <w:sz w:val="4"/>
                <w:szCs w:val="4"/>
              </w:rPr>
            </w:r>
          </w:p>
        </w:tc>
      </w:tr>
      <w:tr>
        <w:trPr/>
        <w:tc>
          <w:tcPr>
            <w:tcW w:w="5039" w:type="dxa"/>
            <w:tcBorders/>
            <w:vAlign w:val="bottom"/>
          </w:tcPr>
          <w:p>
            <w:pPr>
              <w:pStyle w:val="TableContents"/>
              <w:bidi w:val="0"/>
              <w:spacing w:before="0" w:after="283"/>
              <w:jc w:val="left"/>
              <w:rPr/>
            </w:pPr>
            <w:r>
              <w:rPr/>
              <w:t>For Australian investor enquiries:</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pPr>
            <w:r>
              <w:rPr/>
              <w:t>For Australian media enquiries:</w:t>
            </w:r>
          </w:p>
        </w:tc>
      </w:tr>
      <w:tr>
        <w:trPr/>
        <w:tc>
          <w:tcPr>
            <w:tcW w:w="5039" w:type="dxa"/>
            <w:tcBorders/>
            <w:vAlign w:val="bottom"/>
          </w:tcPr>
          <w:p>
            <w:pPr>
              <w:pStyle w:val="TableContents"/>
              <w:bidi w:val="0"/>
              <w:spacing w:before="0" w:after="283"/>
              <w:jc w:val="left"/>
              <w:rPr/>
            </w:pPr>
            <w:r>
              <w:rPr/>
              <w:t>Jolanta Masojada, +61 417 261 367,</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pPr>
            <w:r>
              <w:rPr/>
              <w:t>Giles Rafferty, +61 481 467 903</w:t>
            </w:r>
          </w:p>
        </w:tc>
      </w:tr>
      <w:tr>
        <w:trPr/>
        <w:tc>
          <w:tcPr>
            <w:tcW w:w="5039" w:type="dxa"/>
            <w:tcBorders/>
            <w:vAlign w:val="bottom"/>
          </w:tcPr>
          <w:p>
            <w:pPr>
              <w:pStyle w:val="TableContents"/>
              <w:bidi w:val="0"/>
              <w:spacing w:before="0" w:after="283"/>
              <w:jc w:val="left"/>
              <w:rPr/>
            </w:pPr>
            <w:r>
              <w:rPr/>
              <w:t>jmasojada@life360.com</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pPr>
            <w:r>
              <w:rPr/>
              <w:t>grafferty@firstadvisers.com.au</w:t>
            </w:r>
          </w:p>
        </w:tc>
      </w:tr>
      <w:tr>
        <w:trPr>
          <w:trHeight w:val="240" w:hRule="atLeast"/>
        </w:trPr>
        <w:tc>
          <w:tcPr>
            <w:tcW w:w="5039"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r>
      <w:tr>
        <w:trPr/>
        <w:tc>
          <w:tcPr>
            <w:tcW w:w="5039" w:type="dxa"/>
            <w:tcBorders/>
            <w:vAlign w:val="bottom"/>
          </w:tcPr>
          <w:p>
            <w:pPr>
              <w:pStyle w:val="TableContents"/>
              <w:bidi w:val="0"/>
              <w:spacing w:before="0" w:after="283"/>
              <w:jc w:val="left"/>
              <w:rPr/>
            </w:pPr>
            <w:r>
              <w:rPr/>
              <w:t>For U.S. investor enquiries:</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pPr>
            <w:r>
              <w:rPr/>
              <w:t>For U.S. media enquiries:</w:t>
            </w:r>
          </w:p>
        </w:tc>
      </w:tr>
      <w:tr>
        <w:trPr/>
        <w:tc>
          <w:tcPr>
            <w:tcW w:w="5039" w:type="dxa"/>
            <w:tcBorders/>
            <w:vAlign w:val="bottom"/>
          </w:tcPr>
          <w:p>
            <w:pPr>
              <w:pStyle w:val="TableContents"/>
              <w:bidi w:val="0"/>
              <w:spacing w:before="0" w:after="283"/>
              <w:jc w:val="left"/>
              <w:rPr/>
            </w:pPr>
            <w:r>
              <w:rPr/>
              <w:t>investors@life360.com</w:t>
            </w:r>
          </w:p>
        </w:tc>
        <w:tc>
          <w:tcPr>
            <w:tcW w:w="120" w:type="dxa"/>
            <w:tcBorders/>
            <w:vAlign w:val="bottom"/>
          </w:tcPr>
          <w:p>
            <w:pPr>
              <w:pStyle w:val="TableContents"/>
              <w:bidi w:val="0"/>
              <w:spacing w:before="0" w:after="283"/>
              <w:jc w:val="left"/>
              <w:rPr/>
            </w:pPr>
            <w:r>
              <w:rPr/>
              <w:t>  </w:t>
            </w:r>
          </w:p>
        </w:tc>
        <w:tc>
          <w:tcPr>
            <w:tcW w:w="5046" w:type="dxa"/>
            <w:tcBorders/>
            <w:vAlign w:val="bottom"/>
          </w:tcPr>
          <w:p>
            <w:pPr>
              <w:pStyle w:val="TableContents"/>
              <w:bidi w:val="0"/>
              <w:spacing w:before="0" w:after="283"/>
              <w:jc w:val="left"/>
              <w:rPr/>
            </w:pPr>
            <w:r>
              <w:rPr/>
              <w:t>press@life360.com</w:t>
            </w:r>
          </w:p>
        </w:tc>
      </w:tr>
    </w:tbl>
    <w:p>
      <w:pPr>
        <w:pStyle w:val="TextBody"/>
        <w:bidi w:val="0"/>
        <w:spacing w:before="240" w:after="0"/>
        <w:jc w:val="left"/>
        <w:rPr>
          <w:rFonts w:ascii="Times New Roman" w:hAnsi="Times New Roman"/>
          <w:sz w:val="20"/>
        </w:rPr>
      </w:pPr>
      <w:r>
        <w:rPr>
          <w:rFonts w:ascii="Times New Roman" w:hAnsi="Times New Roman"/>
          <w:sz w:val="20"/>
        </w:rPr>
        <w:t>Life360s CDIs are issued in reliance on the exemption from registration contained in Regulation S of the US Securities Act of 1933, as amended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securities. Any offers, solicitations or offers to buy, or any sales of securities will be made in accordance with the registration requirements of the Securities Act. This announcement is being issued in accordance with Rule 135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and the accompanying commentary and presentation from the Chairman and Co-Founder and CEO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include, but are not limited to, statements regarding Life360s growth strategy and business plan and the Companys ability to effectively manage its growth and meet future capital requirements: the Companys expectations regarding future financial performance, including its expectations regarding its revenue, revenue growth, EBITDA, adjusted EBITDA, operating cash flow and cash, cash equivalents and restricted cash balances,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and the Companys ability to increase sales of its products and services.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t>
      </w:r>
    </w:p>
    <w:p>
      <w:pPr>
        <w:pStyle w:val="TextBody"/>
        <w:bidi w:val="0"/>
        <w:spacing w:before="240" w:after="0"/>
        <w:jc w:val="left"/>
        <w:rPr>
          <w:rFonts w:ascii="Times New Roman" w:hAnsi="Times New Roman"/>
          <w:sz w:val="20"/>
        </w:rPr>
      </w:pPr>
      <w:r>
        <w:rPr>
          <w:rFonts w:ascii="Times New Roman" w:hAnsi="Times New Roman"/>
          <w:sz w:val="20"/>
        </w:rPr>
        <w:t xml:space="preserve">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perform as expected, as described in greater detail under the heading Risk Factors in Life360s ASX and Securities and Exchange Commission (SEC) filings, including its Annual Report on Form 10-K filed with the SEC on February 29, 2024, Quarterly Report on Form 10Q filed with the SEC on May 10,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Chairman and CEOs Speeches and Presentations </w:t>
      </w:r>
    </w:p>
    <w:p>
      <w:pPr>
        <w:pStyle w:val="TextBody"/>
        <w:bidi w:val="0"/>
        <w:spacing w:before="120" w:after="0"/>
        <w:jc w:val="left"/>
        <w:rPr>
          <w:rFonts w:ascii="Times New Roman" w:hAnsi="Times New Roman"/>
          <w:b/>
          <w:sz w:val="20"/>
        </w:rPr>
      </w:pPr>
      <w:r>
        <w:rPr>
          <w:rFonts w:ascii="Times New Roman" w:hAnsi="Times New Roman"/>
          <w:b/>
          <w:sz w:val="20"/>
        </w:rPr>
        <w:t xml:space="preserve">John Philip CoghlanChairman </w:t>
      </w:r>
    </w:p>
    <w:p>
      <w:pPr>
        <w:pStyle w:val="TextBody"/>
        <w:bidi w:val="0"/>
        <w:spacing w:before="120" w:after="0"/>
        <w:jc w:val="left"/>
        <w:rPr>
          <w:rFonts w:ascii="Times New Roman" w:hAnsi="Times New Roman"/>
          <w:b/>
          <w:i/>
          <w:sz w:val="20"/>
        </w:rPr>
      </w:pPr>
      <w:r>
        <w:rPr>
          <w:rFonts w:ascii="Times New Roman" w:hAnsi="Times New Roman"/>
          <w:b/>
          <w:i/>
          <w:sz w:val="20"/>
        </w:rPr>
        <w:t xml:space="preserve">Slide 1 </w:t>
      </w:r>
    </w:p>
    <w:p>
      <w:pPr>
        <w:pStyle w:val="TextBody"/>
        <w:bidi w:val="0"/>
        <w:spacing w:before="120" w:after="0"/>
        <w:jc w:val="left"/>
        <w:rPr>
          <w:rFonts w:ascii="Times New Roman" w:hAnsi="Times New Roman"/>
          <w:sz w:val="20"/>
        </w:rPr>
      </w:pPr>
      <w:r>
        <w:rPr>
          <w:rFonts w:ascii="Times New Roman" w:hAnsi="Times New Roman"/>
          <w:sz w:val="20"/>
        </w:rPr>
        <w:t xml:space="preserve">Good afternoon to our U.S. investors and good morning to our Australian investors. Welcome to the 2024 Annual General Meeting of Life360 Inc. </w:t>
      </w:r>
    </w:p>
    <w:p>
      <w:pPr>
        <w:pStyle w:val="TextBody"/>
        <w:bidi w:val="0"/>
        <w:spacing w:before="240" w:after="0"/>
        <w:jc w:val="left"/>
        <w:rPr>
          <w:rFonts w:ascii="Times New Roman" w:hAnsi="Times New Roman"/>
          <w:sz w:val="20"/>
        </w:rPr>
      </w:pPr>
      <w:r>
        <w:rPr>
          <w:rFonts w:ascii="Times New Roman" w:hAnsi="Times New Roman"/>
          <w:sz w:val="20"/>
        </w:rPr>
        <w:t xml:space="preserve">My name is John Philip Coghlan and I am the Chairman of Life360. On behalf of the Board, it is my pleasure to address shareholders at Life360s fifth AGM since listing on the ASX in 2019. </w:t>
      </w:r>
    </w:p>
    <w:p>
      <w:pPr>
        <w:pStyle w:val="TextBody"/>
        <w:bidi w:val="0"/>
        <w:spacing w:before="240" w:after="0"/>
        <w:jc w:val="left"/>
        <w:rPr>
          <w:rFonts w:ascii="Times New Roman" w:hAnsi="Times New Roman"/>
          <w:sz w:val="20"/>
        </w:rPr>
      </w:pPr>
      <w:r>
        <w:rPr>
          <w:rFonts w:ascii="Times New Roman" w:hAnsi="Times New Roman"/>
          <w:sz w:val="20"/>
        </w:rPr>
        <w:t xml:space="preserve">Today we are very pleased to welcome those of you participating online through our virtual meeting platform provided by Lumi. This allows shareholders, proxies and guests to attend the meeting virtually. All attendees can watch a live webcast of the meeting. In addition, shareholders and proxies have the ability to ask questions and submit votes. </w:t>
      </w:r>
    </w:p>
    <w:p>
      <w:pPr>
        <w:pStyle w:val="TextBody"/>
        <w:bidi w:val="0"/>
        <w:spacing w:before="240" w:after="0"/>
        <w:jc w:val="left"/>
        <w:rPr>
          <w:rFonts w:ascii="Times New Roman" w:hAnsi="Times New Roman"/>
          <w:sz w:val="20"/>
        </w:rPr>
      </w:pPr>
      <w:r>
        <w:rPr>
          <w:rFonts w:ascii="Times New Roman" w:hAnsi="Times New Roman"/>
          <w:sz w:val="20"/>
        </w:rPr>
        <w:t xml:space="preserve">We have decided to hold a virtual meeting once again in 2024 to allow participation and engagement amongst our security holders, wherever they may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2 </w:t>
      </w:r>
    </w:p>
    <w:p>
      <w:pPr>
        <w:pStyle w:val="TextBody"/>
        <w:bidi w:val="0"/>
        <w:spacing w:before="120" w:after="0"/>
        <w:jc w:val="left"/>
        <w:rPr>
          <w:rFonts w:ascii="Times New Roman" w:hAnsi="Times New Roman"/>
          <w:sz w:val="20"/>
        </w:rPr>
      </w:pPr>
      <w:r>
        <w:rPr>
          <w:rFonts w:ascii="Times New Roman" w:hAnsi="Times New Roman"/>
          <w:sz w:val="20"/>
        </w:rPr>
        <w:t xml:space="preserve">It is now after 4:30pm in San Mateo, California on May 29 and correspondingly after 9:30am in Sydney, Australia on May 30. </w:t>
      </w:r>
    </w:p>
    <w:p>
      <w:pPr>
        <w:pStyle w:val="TextBody"/>
        <w:bidi w:val="0"/>
        <w:spacing w:before="240" w:after="0"/>
        <w:jc w:val="left"/>
        <w:rPr>
          <w:rFonts w:ascii="Times New Roman" w:hAnsi="Times New Roman"/>
          <w:sz w:val="20"/>
        </w:rPr>
      </w:pPr>
      <w:r>
        <w:rPr>
          <w:rFonts w:ascii="Times New Roman" w:hAnsi="Times New Roman"/>
          <w:sz w:val="20"/>
        </w:rPr>
        <w:t xml:space="preserve">I have been advised by our inspector of election, Computershare Trust Company, N.A, that proxies have been received in respect of a total number of outstanding shares that constitute a quorum for the matters to be considered at this meeting. I therefore declare this AGM open and welcome each of you to the virtual platform. </w:t>
      </w:r>
    </w:p>
    <w:p>
      <w:pPr>
        <w:pStyle w:val="TextBody"/>
        <w:bidi w:val="0"/>
        <w:spacing w:before="240" w:after="0"/>
        <w:jc w:val="left"/>
        <w:rPr>
          <w:rFonts w:ascii="Times New Roman" w:hAnsi="Times New Roman"/>
          <w:sz w:val="20"/>
        </w:rPr>
      </w:pPr>
      <w:r>
        <w:rPr>
          <w:rFonts w:ascii="Times New Roman" w:hAnsi="Times New Roman"/>
          <w:sz w:val="20"/>
        </w:rPr>
        <w:t xml:space="preserve">Before I proceed with the business of the Meeting, I would like to introduce my fellow Directors. In the US are: </w:t>
      </w:r>
    </w:p>
    <w:p>
      <w:pPr>
        <w:pStyle w:val="TextBody"/>
        <w:bidi w:val="0"/>
        <w:spacing w:before="120" w:after="0"/>
        <w:jc w:val="left"/>
        <w:rPr>
          <w:rFonts w:ascii="Times New Roman" w:hAnsi="Times New Roman"/>
          <w:sz w:val="20"/>
        </w:rPr>
      </w:pPr>
      <w:r>
        <w:rPr>
          <w:rFonts w:ascii="Times New Roman" w:hAnsi="Times New Roman"/>
          <w:sz w:val="20"/>
        </w:rPr>
        <w:t xml:space="preserve">Chris Hulls, our CEO and Co-Founder, and an Executive Director; </w:t>
      </w:r>
    </w:p>
    <w:p>
      <w:pPr>
        <w:pStyle w:val="TextBody"/>
        <w:bidi w:val="0"/>
        <w:spacing w:before="0" w:after="0"/>
        <w:jc w:val="left"/>
        <w:rPr>
          <w:rFonts w:ascii="Times New Roman" w:hAnsi="Times New Roman"/>
          <w:sz w:val="20"/>
        </w:rPr>
      </w:pPr>
      <w:r>
        <w:rPr>
          <w:rFonts w:ascii="Times New Roman" w:hAnsi="Times New Roman"/>
          <w:sz w:val="20"/>
        </w:rPr>
        <w:t xml:space="preserve">Alex Haro; a Co-Founder and Non-Executive Director; </w:t>
      </w:r>
    </w:p>
    <w:p>
      <w:pPr>
        <w:pStyle w:val="TextBody"/>
        <w:bidi w:val="0"/>
        <w:spacing w:before="0" w:after="0"/>
        <w:jc w:val="left"/>
        <w:rPr>
          <w:rFonts w:ascii="Times New Roman" w:hAnsi="Times New Roman"/>
          <w:sz w:val="20"/>
        </w:rPr>
      </w:pPr>
      <w:r>
        <w:rPr>
          <w:rFonts w:ascii="Times New Roman" w:hAnsi="Times New Roman"/>
          <w:sz w:val="20"/>
        </w:rPr>
        <w:t xml:space="preserve">Brit Morin; Independent Non-Executive Director; </w:t>
      </w:r>
    </w:p>
    <w:p>
      <w:pPr>
        <w:pStyle w:val="TextBody"/>
        <w:bidi w:val="0"/>
        <w:spacing w:before="0" w:after="0"/>
        <w:jc w:val="left"/>
        <w:rPr>
          <w:rFonts w:ascii="Times New Roman" w:hAnsi="Times New Roman"/>
          <w:sz w:val="20"/>
        </w:rPr>
      </w:pPr>
      <w:r>
        <w:rPr>
          <w:rFonts w:ascii="Times New Roman" w:hAnsi="Times New Roman"/>
          <w:sz w:val="20"/>
        </w:rPr>
        <w:t xml:space="preserve">Mark Goines; Independent Non-Executive Director; and Chairman of the Remuneration and Nomination Committee. </w:t>
      </w:r>
    </w:p>
    <w:p>
      <w:pPr>
        <w:pStyle w:val="TextBody"/>
        <w:bidi w:val="0"/>
        <w:spacing w:before="0" w:after="0"/>
        <w:jc w:val="left"/>
        <w:rPr>
          <w:rFonts w:ascii="Times New Roman" w:hAnsi="Times New Roman"/>
          <w:sz w:val="20"/>
        </w:rPr>
      </w:pPr>
      <w:r>
        <w:rPr>
          <w:rFonts w:ascii="Times New Roman" w:hAnsi="Times New Roman"/>
          <w:sz w:val="20"/>
        </w:rPr>
        <w:t xml:space="preserve">Randi Zuckerberg; Independent Non-Executive Director; </w:t>
      </w:r>
    </w:p>
    <w:p>
      <w:pPr>
        <w:pStyle w:val="TextBody"/>
        <w:bidi w:val="0"/>
        <w:spacing w:before="0" w:after="0"/>
        <w:jc w:val="left"/>
        <w:rPr>
          <w:rFonts w:ascii="Times New Roman" w:hAnsi="Times New Roman"/>
          <w:sz w:val="20"/>
        </w:rPr>
      </w:pPr>
      <w:r>
        <w:rPr>
          <w:rFonts w:ascii="Times New Roman" w:hAnsi="Times New Roman"/>
          <w:sz w:val="20"/>
        </w:rPr>
        <w:t xml:space="preserve">CJ Prober; a Non-Executive Director; </w:t>
      </w:r>
    </w:p>
    <w:p>
      <w:pPr>
        <w:pStyle w:val="TextBody"/>
        <w:bidi w:val="0"/>
        <w:spacing w:before="240" w:after="0"/>
        <w:jc w:val="left"/>
        <w:rPr>
          <w:rFonts w:ascii="Times New Roman" w:hAnsi="Times New Roman"/>
          <w:sz w:val="20"/>
        </w:rPr>
      </w:pPr>
      <w:r>
        <w:rPr>
          <w:rFonts w:ascii="Times New Roman" w:hAnsi="Times New Roman"/>
          <w:sz w:val="20"/>
        </w:rPr>
        <w:t xml:space="preserve">In Australia are: </w:t>
      </w:r>
    </w:p>
    <w:p>
      <w:pPr>
        <w:pStyle w:val="TextBody"/>
        <w:bidi w:val="0"/>
        <w:spacing w:before="120" w:after="0"/>
        <w:jc w:val="left"/>
        <w:rPr>
          <w:rFonts w:ascii="Times New Roman" w:hAnsi="Times New Roman"/>
          <w:sz w:val="20"/>
        </w:rPr>
      </w:pPr>
      <w:r>
        <w:rPr>
          <w:rFonts w:ascii="Times New Roman" w:hAnsi="Times New Roman"/>
          <w:sz w:val="20"/>
        </w:rPr>
        <w:t xml:space="preserve">James Synge; Independent Non-Executive Director; and </w:t>
      </w:r>
    </w:p>
    <w:p>
      <w:pPr>
        <w:pStyle w:val="TextBody"/>
        <w:bidi w:val="0"/>
        <w:spacing w:before="0" w:after="0"/>
        <w:jc w:val="left"/>
        <w:rPr>
          <w:rFonts w:ascii="Times New Roman" w:hAnsi="Times New Roman"/>
          <w:sz w:val="20"/>
        </w:rPr>
      </w:pPr>
      <w:r>
        <w:rPr>
          <w:rFonts w:ascii="Times New Roman" w:hAnsi="Times New Roman"/>
          <w:sz w:val="20"/>
        </w:rPr>
        <w:t xml:space="preserve">David Wiadrowski; Independent Non-Executive Director, and Chairman of the Audit and Risk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attending today are Russell Burke, our Chief Financial Officer, Susan Stick, our General Counsel, and our auditor Joseph Prast from Deloitte. </w:t>
      </w:r>
    </w:p>
    <w:p>
      <w:pPr>
        <w:pStyle w:val="TextBody"/>
        <w:bidi w:val="0"/>
        <w:spacing w:before="240" w:after="0"/>
        <w:jc w:val="left"/>
        <w:rPr>
          <w:rFonts w:ascii="Times New Roman" w:hAnsi="Times New Roman"/>
          <w:sz w:val="20"/>
        </w:rPr>
      </w:pPr>
      <w:r>
        <w:rPr>
          <w:rFonts w:ascii="Times New Roman" w:hAnsi="Times New Roman"/>
          <w:sz w:val="20"/>
        </w:rPr>
        <w:t xml:space="preserve">The agenda for the Meeting today will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Firstly, I will give a short address on Life360s performance for the 2023 fiscal year and an overview of the companys strategy. </w:t>
      </w:r>
    </w:p>
    <w:p>
      <w:pPr>
        <w:pStyle w:val="TextBody"/>
        <w:bidi w:val="0"/>
        <w:spacing w:before="0" w:after="0"/>
        <w:jc w:val="left"/>
        <w:rPr>
          <w:rFonts w:ascii="Times New Roman" w:hAnsi="Times New Roman"/>
          <w:sz w:val="20"/>
        </w:rPr>
      </w:pPr>
      <w:r>
        <w:rPr>
          <w:rFonts w:ascii="Times New Roman" w:hAnsi="Times New Roman"/>
          <w:sz w:val="20"/>
        </w:rPr>
        <w:t xml:space="preserve">This will be followed by a presentation from our CEO Chris Hulls. </w:t>
      </w:r>
    </w:p>
    <w:p>
      <w:pPr>
        <w:pStyle w:val="TextBody"/>
        <w:bidi w:val="0"/>
        <w:spacing w:before="0" w:after="0"/>
        <w:jc w:val="left"/>
        <w:rPr>
          <w:rFonts w:ascii="Times New Roman" w:hAnsi="Times New Roman"/>
          <w:sz w:val="20"/>
        </w:rPr>
      </w:pPr>
      <w:r>
        <w:rPr>
          <w:rFonts w:ascii="Times New Roman" w:hAnsi="Times New Roman"/>
          <w:sz w:val="20"/>
        </w:rPr>
        <w:t xml:space="preserve">I will then outline the meeting procedures and continue to the formal items of business.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Life360s mission is to keep people close to the ones they love. During 2023 we made significant progress towards achieving this mission, with meaningful enhancements to our members experience, including continued benefits from the Tile acquisition. We now show users what their family members are up to, whether theyre driving, walking or cycling, and we put pets and other valuables on the Life360 map. We are very proud that we deliver the peace of mind that comes with our location sharing and safety features to more than 66 million Monthly Active Users across the globe as of March 2024. 2023 was a pivotal year for the Company as we leveraged our growth and scale to significantly reduce our net loss, and achieve positive operating cash flow and Adjusted EBITDA.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3 </w:t>
      </w:r>
    </w:p>
    <w:p>
      <w:pPr>
        <w:pStyle w:val="TextBody"/>
        <w:bidi w:val="0"/>
        <w:spacing w:before="120" w:after="0"/>
        <w:jc w:val="left"/>
        <w:rPr>
          <w:rFonts w:ascii="Times New Roman" w:hAnsi="Times New Roman"/>
          <w:sz w:val="20"/>
        </w:rPr>
      </w:pPr>
      <w:r>
        <w:rPr>
          <w:rFonts w:ascii="Times New Roman" w:hAnsi="Times New Roman"/>
          <w:sz w:val="20"/>
        </w:rPr>
        <w:t xml:space="preserve">Life360 met or exceeded all of the guidance metrics we provided to the market for 2023. Revenue growth of 33% to $304.5 million, benefited from continued strong momentum in our subscription business, with revenue increasing 44% year-on-year. At the same time, GAAP operating expenses increased just 4% YoY, and reduced 1% YoY when excluding variable sales commissions, reflecting a disciplined approach to cost. </w:t>
      </w:r>
    </w:p>
    <w:p>
      <w:pPr>
        <w:pStyle w:val="TextBody"/>
        <w:bidi w:val="0"/>
        <w:spacing w:before="240" w:after="0"/>
        <w:jc w:val="left"/>
        <w:rPr>
          <w:rFonts w:ascii="Times New Roman" w:hAnsi="Times New Roman"/>
          <w:sz w:val="20"/>
        </w:rPr>
      </w:pPr>
      <w:r>
        <w:rPr>
          <w:rFonts w:ascii="Times New Roman" w:hAnsi="Times New Roman"/>
          <w:sz w:val="20"/>
        </w:rPr>
        <w:t xml:space="preserve">The strong revenue growth combined with cost restraint ,underpinned a greater than $60 million year-on-year improvement in each of net loss, EBITDA and Adjusted EBITDA to $(28.2) million, $(20.8) million and $20.6 million respectively. A similar $60 million improvement in operating cash flow delivered the first full year of positive cash flow of $7.5 million. </w:t>
      </w:r>
    </w:p>
    <w:p>
      <w:pPr>
        <w:pStyle w:val="TextBody"/>
        <w:bidi w:val="0"/>
        <w:spacing w:before="240" w:after="0"/>
        <w:jc w:val="left"/>
        <w:rPr>
          <w:rFonts w:ascii="Times New Roman" w:hAnsi="Times New Roman"/>
          <w:sz w:val="20"/>
        </w:rPr>
      </w:pPr>
      <w:r>
        <w:rPr>
          <w:rFonts w:ascii="Times New Roman" w:hAnsi="Times New Roman"/>
          <w:sz w:val="20"/>
        </w:rPr>
        <w:t xml:space="preserve">Life360s balance sheet is strong, finishing the 2023 year with cash, restricted cash and cash equivalents of $70.7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4 </w:t>
      </w:r>
    </w:p>
    <w:p>
      <w:pPr>
        <w:pStyle w:val="TextBody"/>
        <w:bidi w:val="0"/>
        <w:spacing w:before="120" w:after="0"/>
        <w:jc w:val="left"/>
        <w:rPr>
          <w:rFonts w:ascii="Times New Roman" w:hAnsi="Times New Roman"/>
          <w:sz w:val="20"/>
        </w:rPr>
      </w:pPr>
      <w:r>
        <w:rPr>
          <w:rFonts w:ascii="Times New Roman" w:hAnsi="Times New Roman"/>
          <w:sz w:val="20"/>
        </w:rPr>
        <w:t xml:space="preserve">During 2023 Life360 progressed against the strategic objectives designed to cement our market-leading position in family safety and security. </w:t>
      </w:r>
    </w:p>
    <w:p>
      <w:pPr>
        <w:pStyle w:val="TextBody"/>
        <w:bidi w:val="0"/>
        <w:spacing w:before="240" w:after="0"/>
        <w:jc w:val="left"/>
        <w:rPr>
          <w:rFonts w:ascii="Times New Roman" w:hAnsi="Times New Roman"/>
          <w:sz w:val="20"/>
        </w:rPr>
      </w:pPr>
      <w:r>
        <w:rPr>
          <w:rFonts w:ascii="Times New Roman" w:hAnsi="Times New Roman"/>
          <w:sz w:val="20"/>
        </w:rPr>
        <w:t xml:space="preserve">Our strategy to grow our audience delivered a 26% YoY uplift in Monthly Active Users to more than 61 million at December 2023. International growth was particularly strong, increasing 40% YoY, with a record number of international MAU additions. </w:t>
      </w:r>
    </w:p>
    <w:p>
      <w:pPr>
        <w:pStyle w:val="TextBody"/>
        <w:bidi w:val="0"/>
        <w:spacing w:before="240" w:after="0"/>
        <w:jc w:val="left"/>
        <w:rPr>
          <w:rFonts w:ascii="Times New Roman" w:hAnsi="Times New Roman"/>
          <w:sz w:val="20"/>
        </w:rPr>
      </w:pPr>
      <w:r>
        <w:rPr>
          <w:rFonts w:ascii="Times New Roman" w:hAnsi="Times New Roman"/>
          <w:sz w:val="20"/>
        </w:rPr>
        <w:t>Our goal to drive membership resulted in a 21% YoY increase in global Paying Circles to 1.8 million. This outcome is particularly impressive in the context of U.S. price increases which helped lift Global ARPPC by 25% YoY, and reflects the loyalty and engagement of our membership base.</w:t>
      </w:r>
    </w:p>
    <w:p>
      <w:pPr>
        <w:pStyle w:val="TextBody"/>
        <w:bidi w:val="0"/>
        <w:spacing w:before="240" w:after="0"/>
        <w:jc w:val="left"/>
        <w:rPr>
          <w:rFonts w:ascii="Times New Roman" w:hAnsi="Times New Roman"/>
          <w:sz w:val="20"/>
        </w:rPr>
      </w:pPr>
      <w:r>
        <w:rPr>
          <w:rFonts w:ascii="Times New Roman" w:hAnsi="Times New Roman"/>
          <w:sz w:val="20"/>
        </w:rPr>
        <w:t>Our strategy to expand internationally saw Paying Circles outside of the U.S. increase 43% YoY, with a particularly strong performance from the predominantly English-speaking countries of Canada, the UK and Australia. We launched our U.S. model of Triple Tier Membership in the UK in October 2023, and in Australia and New Zealand in April 2024, with encouraging early results.</w:t>
      </w:r>
    </w:p>
    <w:p>
      <w:pPr>
        <w:pStyle w:val="TextBody"/>
        <w:bidi w:val="0"/>
        <w:spacing w:before="240" w:after="0"/>
        <w:jc w:val="left"/>
        <w:rPr>
          <w:rFonts w:ascii="Times New Roman" w:hAnsi="Times New Roman"/>
          <w:sz w:val="20"/>
        </w:rPr>
      </w:pPr>
      <w:r>
        <w:rPr>
          <w:rFonts w:ascii="Times New Roman" w:hAnsi="Times New Roman"/>
          <w:sz w:val="20"/>
        </w:rPr>
        <w:t>Finally, our focus on maintaining financial discipline while continuing to invest for growth underpinned the 33% YoY increase in revenue, and the achievement of positive Adjusted EBITDA.</w:t>
      </w:r>
    </w:p>
    <w:p>
      <w:pPr>
        <w:pStyle w:val="TextBody"/>
        <w:bidi w:val="0"/>
        <w:spacing w:before="240" w:after="0"/>
        <w:jc w:val="left"/>
        <w:rPr>
          <w:rFonts w:ascii="Times New Roman" w:hAnsi="Times New Roman"/>
          <w:sz w:val="20"/>
        </w:rPr>
      </w:pPr>
      <w:r>
        <w:rPr>
          <w:rFonts w:ascii="Times New Roman" w:hAnsi="Times New Roman"/>
          <w:sz w:val="20"/>
        </w:rPr>
        <w:t>Chris will outline in his address the initiatives underway in 2024 to deliver on our ambitious aspirations for the Company.</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5 </w:t>
      </w:r>
    </w:p>
    <w:p>
      <w:pPr>
        <w:pStyle w:val="TextBody"/>
        <w:bidi w:val="0"/>
        <w:spacing w:before="120" w:after="0"/>
        <w:jc w:val="left"/>
        <w:rPr>
          <w:rFonts w:ascii="Times New Roman" w:hAnsi="Times New Roman"/>
          <w:sz w:val="20"/>
        </w:rPr>
      </w:pPr>
      <w:r>
        <w:rPr>
          <w:rFonts w:ascii="Times New Roman" w:hAnsi="Times New Roman"/>
          <w:sz w:val="20"/>
        </w:rPr>
        <w:t>At Life360, our mission is to keep people close to the ones they love. Our Environmental, Social and Governance (ESG) initiatives reflect our commitment to simplifying family safety and security.</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Slide 6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we dispatched almost 39,000 ambulances, and protected more than 300 billion miles with Life360 crash detection. The user testimonials we receive on a daily basis show the real-world impact of our digital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7 </w:t>
      </w:r>
    </w:p>
    <w:p>
      <w:pPr>
        <w:pStyle w:val="TextBody"/>
        <w:bidi w:val="0"/>
        <w:spacing w:before="120" w:after="0"/>
        <w:jc w:val="left"/>
        <w:rPr>
          <w:rFonts w:ascii="Times New Roman" w:hAnsi="Times New Roman"/>
          <w:sz w:val="20"/>
        </w:rPr>
      </w:pPr>
      <w:r>
        <w:rPr>
          <w:rFonts w:ascii="Times New Roman" w:hAnsi="Times New Roman"/>
          <w:sz w:val="20"/>
        </w:rPr>
        <w:t xml:space="preserve">I would like to express my gratitude to my fellow Board members for their invaluable contributions to Life360 over the past year. Shareholders and employees are great beneficiaries of their wise counsel and dedication. I would also like to extend my appreciation to you, our shareholders, for your ongoing support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Finally, on behalf of the Board I thank our talented colleagues for their hard work and commitment to excellence. In particular, I acknowledge Chris Hulls and his entire leadership team for creating a culture of innovation, creativity and collaboration. Their vision for a fully integrated and differentiated family safety and location platform drives the many growth opportunities that lie ahead for our Company. </w:t>
      </w:r>
    </w:p>
    <w:p>
      <w:pPr>
        <w:pStyle w:val="TextBody"/>
        <w:bidi w:val="0"/>
        <w:spacing w:before="240" w:after="0"/>
        <w:jc w:val="left"/>
        <w:rPr>
          <w:rFonts w:ascii="Times New Roman" w:hAnsi="Times New Roman"/>
          <w:sz w:val="20"/>
        </w:rPr>
      </w:pPr>
      <w:r>
        <w:rPr>
          <w:rFonts w:ascii="Times New Roman" w:hAnsi="Times New Roman"/>
          <w:sz w:val="20"/>
        </w:rPr>
        <w:t xml:space="preserve">Ill now hand over to Chris Hulls who will provide an update on the companys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Chris Hulls  Co-Founder and CEO </w:t>
      </w:r>
    </w:p>
    <w:p>
      <w:pPr>
        <w:pStyle w:val="TextBody"/>
        <w:bidi w:val="0"/>
        <w:spacing w:before="120" w:after="0"/>
        <w:jc w:val="left"/>
        <w:rPr>
          <w:rFonts w:ascii="Times New Roman" w:hAnsi="Times New Roman"/>
          <w:b/>
          <w:i/>
          <w:sz w:val="20"/>
        </w:rPr>
      </w:pPr>
      <w:r>
        <w:rPr>
          <w:rFonts w:ascii="Times New Roman" w:hAnsi="Times New Roman"/>
          <w:b/>
          <w:i/>
          <w:sz w:val="20"/>
        </w:rPr>
        <w:t xml:space="preserve">Slide 8 </w:t>
      </w:r>
    </w:p>
    <w:p>
      <w:pPr>
        <w:pStyle w:val="TextBody"/>
        <w:bidi w:val="0"/>
        <w:spacing w:before="120" w:after="0"/>
        <w:jc w:val="left"/>
        <w:rPr>
          <w:rFonts w:ascii="Times New Roman" w:hAnsi="Times New Roman"/>
          <w:sz w:val="20"/>
        </w:rPr>
      </w:pPr>
      <w:r>
        <w:rPr>
          <w:rFonts w:ascii="Times New Roman" w:hAnsi="Times New Roman"/>
          <w:sz w:val="20"/>
        </w:rPr>
        <w:t xml:space="preserve">Thanks John. Good morning to our shareholders and thank you for joining us today. I am pleased to be able to provide you with a brief business update and illustrate how Life360 continues to deliver against our strategic objectives. We are already a beloved app for families to keep track of their kids safety, and our goal is to become the number one brand that makes everyday life better for families at all life stages.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9 </w:t>
      </w:r>
    </w:p>
    <w:p>
      <w:pPr>
        <w:pStyle w:val="TextBody"/>
        <w:bidi w:val="0"/>
        <w:spacing w:before="120" w:after="0"/>
        <w:jc w:val="left"/>
        <w:rPr>
          <w:rFonts w:ascii="Times New Roman" w:hAnsi="Times New Roman"/>
          <w:sz w:val="20"/>
        </w:rPr>
      </w:pPr>
      <w:r>
        <w:rPr>
          <w:rFonts w:ascii="Times New Roman" w:hAnsi="Times New Roman"/>
          <w:sz w:val="20"/>
        </w:rPr>
        <w:t>John mentioned earlier that in 2023 we delivered 26% year-on-year growth in MAU. We delivered accelerating momentum in the first quarter of 2024, with year-on-year growth of 31%, and record net additions for a first quarter. Our current international Triple Tier markets of focusCanada, the UK and Australiaall performed strongly in 2023, and continue to do so in the first quarter of 2024.</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10 </w:t>
      </w:r>
    </w:p>
    <w:p>
      <w:pPr>
        <w:pStyle w:val="TextBody"/>
        <w:bidi w:val="0"/>
        <w:spacing w:before="120" w:after="0"/>
        <w:jc w:val="left"/>
        <w:rPr>
          <w:rFonts w:ascii="Times New Roman" w:hAnsi="Times New Roman"/>
          <w:sz w:val="20"/>
        </w:rPr>
      </w:pPr>
      <w:r>
        <w:rPr>
          <w:rFonts w:ascii="Times New Roman" w:hAnsi="Times New Roman"/>
          <w:sz w:val="20"/>
        </w:rPr>
        <w:t xml:space="preserve">During 2023 Global Paying Circles increased 21% year-on-year, a very good outcome in the context of the significant price increases we implemented in the U.S. Global Average Revenue Per Paying Circle was 25% higher year-on-year. Together these drivers underpinned a 52% year-on-year increase in core Life360 subscription revenue, which delivered ahead of guidance. Weve seen continued strong momentum in Paying Circles in the first quarter of 2024 across both U.S. and International markets with 21% year-on-year growth, and record net additions for a first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11 </w:t>
      </w:r>
    </w:p>
    <w:p>
      <w:pPr>
        <w:pStyle w:val="TextBody"/>
        <w:bidi w:val="0"/>
        <w:spacing w:before="120" w:after="0"/>
        <w:jc w:val="left"/>
        <w:rPr>
          <w:rFonts w:ascii="Times New Roman" w:hAnsi="Times New Roman"/>
          <w:sz w:val="20"/>
        </w:rPr>
      </w:pPr>
      <w:r>
        <w:rPr>
          <w:rFonts w:ascii="Times New Roman" w:hAnsi="Times New Roman"/>
          <w:sz w:val="20"/>
        </w:rPr>
        <w:t xml:space="preserve">These strong metrics are reflected in the continued strong growth of Life360s recurring revenue. SInce our Australian IPO in May 2019, Life360s Annualized Monthly Revenue has more than quadrupled to $274 million, and we have seen a further 19% YoY uplift in March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Slide 12 </w:t>
      </w:r>
    </w:p>
    <w:p>
      <w:pPr>
        <w:pStyle w:val="TextBody"/>
        <w:bidi w:val="0"/>
        <w:spacing w:before="120" w:after="0"/>
        <w:jc w:val="left"/>
        <w:rPr>
          <w:rFonts w:ascii="Times New Roman" w:hAnsi="Times New Roman"/>
          <w:sz w:val="20"/>
        </w:rPr>
      </w:pPr>
      <w:r>
        <w:rPr>
          <w:rFonts w:ascii="Times New Roman" w:hAnsi="Times New Roman"/>
          <w:sz w:val="20"/>
        </w:rPr>
        <w:t>Before I outline our strategic initiatives for 2024, Id like to provide a glimpse into our long-term aspirational goals. Given our user base and the role our product plays in our members lives, were being intentional about where were headed for the future. We aim to be the number one brand to make everyday life better for families of all stages. As we grow our relevance to an ever-broader range of families, we see opportunities to significantly increase our Monthly Active User base, deliver our first billion dollars of revenue through innovation in our business, and progress on our pathway to significant EBITDA margins.</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13 </w:t>
      </w:r>
    </w:p>
    <w:p>
      <w:pPr>
        <w:pStyle w:val="TextBody"/>
        <w:bidi w:val="0"/>
        <w:spacing w:before="120" w:after="0"/>
        <w:jc w:val="left"/>
        <w:rPr>
          <w:rFonts w:ascii="Times New Roman" w:hAnsi="Times New Roman"/>
          <w:sz w:val="20"/>
        </w:rPr>
      </w:pPr>
      <w:r>
        <w:rPr>
          <w:rFonts w:ascii="Times New Roman" w:hAnsi="Times New Roman"/>
          <w:sz w:val="20"/>
        </w:rPr>
        <w:t>During FY24 we are focused on four key initiatives:</w:t>
      </w:r>
    </w:p>
    <w:p>
      <w:pPr>
        <w:pStyle w:val="TextBody"/>
        <w:bidi w:val="0"/>
        <w:spacing w:before="120" w:after="0"/>
        <w:jc w:val="left"/>
        <w:rPr>
          <w:rFonts w:ascii="Times New Roman" w:hAnsi="Times New Roman"/>
          <w:sz w:val="20"/>
        </w:rPr>
      </w:pPr>
      <w:r>
        <w:rPr>
          <w:rFonts w:ascii="Times New Roman" w:hAnsi="Times New Roman"/>
          <w:i/>
          <w:sz w:val="20"/>
        </w:rPr>
        <w:t>Growing our audience</w:t>
      </w:r>
      <w:r>
        <w:rPr>
          <w:rFonts w:ascii="Times New Roman" w:hAnsi="Times New Roman"/>
          <w:sz w:val="20"/>
        </w:rPr>
        <w:t xml:space="preserve"> is about continuing to build on our very large existing base of more than 66 million Monthly Active Users. The growth momentum of this user base has primarily been fuelled by organic word of mouth, and we are investing in product experiences that encourage our members to tell other people about Life360. In addition, we are developing new features that give members more reasons to engage with the app, using our vast data resources to provide insights that make family life easier. Were also investing in marketing to cement Life360s position as the recognized brand leader for everyday family life. Finally, our international expansion remains core to our growth strategy.</w:t>
      </w:r>
    </w:p>
    <w:p>
      <w:pPr>
        <w:pStyle w:val="TextBody"/>
        <w:bidi w:val="0"/>
        <w:spacing w:before="240" w:after="0"/>
        <w:jc w:val="left"/>
        <w:rPr>
          <w:rFonts w:ascii="Times New Roman" w:hAnsi="Times New Roman"/>
          <w:sz w:val="20"/>
        </w:rPr>
      </w:pPr>
      <w:r>
        <w:rPr>
          <w:rFonts w:ascii="Times New Roman" w:hAnsi="Times New Roman"/>
          <w:i/>
          <w:sz w:val="20"/>
        </w:rPr>
        <w:t>Scaling paid offerings</w:t>
      </w:r>
      <w:r>
        <w:rPr>
          <w:rFonts w:ascii="Times New Roman" w:hAnsi="Times New Roman"/>
          <w:sz w:val="20"/>
        </w:rPr>
        <w:t xml:space="preserve"> includes a focus on growing both paid subscriptions and the number of Tile devices in use. We see these as two sides of a connected experience that helps us address the needs of members at all life stages. Examples include adult children who are worried about aging parents, and pet parents concerned about their furry loved ones. We are very excited about the ways in which Tile devices can expand our use cases and allow us to deliver more value to members. Work is underway on the first new Tile release since the acquisition. We continue to see a large international growth opportunity for subscriptions and Tile device sales. Our Triple Tier offering launched in the UK in October 2023 and in Australia and New Zealand in April 2024.</w:t>
      </w:r>
    </w:p>
    <w:p>
      <w:pPr>
        <w:pStyle w:val="TextBody"/>
        <w:bidi w:val="0"/>
        <w:spacing w:before="240" w:after="0"/>
        <w:jc w:val="left"/>
        <w:rPr>
          <w:rFonts w:ascii="Times New Roman" w:hAnsi="Times New Roman"/>
          <w:sz w:val="20"/>
        </w:rPr>
      </w:pPr>
      <w:r>
        <w:rPr>
          <w:rFonts w:ascii="Times New Roman" w:hAnsi="Times New Roman"/>
          <w:i/>
          <w:sz w:val="20"/>
        </w:rPr>
        <w:t>Creating new revenue streams</w:t>
      </w:r>
      <w:r>
        <w:rPr>
          <w:rFonts w:ascii="Times New Roman" w:hAnsi="Times New Roman"/>
          <w:sz w:val="20"/>
        </w:rPr>
        <w:t xml:space="preserve"> involves building new growth opportunities that benefit from our enormous free user base of 66 million MAU. Earlier this year we announced the creation of a new advertising revenue stream that we believe offers partners valuable reach to these free users. We have consistently spoken of the potential that our investment in the core user experience, and the scaling of our MAU base, would provide for the future. We are encouraged by the success of early testing and see the opportunity to deliver an attractive platform to advertisers, while continuing to provide a great user experience. </w:t>
      </w:r>
    </w:p>
    <w:p>
      <w:pPr>
        <w:pStyle w:val="TextBody"/>
        <w:bidi w:val="0"/>
        <w:spacing w:before="240" w:after="0"/>
        <w:jc w:val="left"/>
        <w:rPr>
          <w:rFonts w:ascii="Times New Roman" w:hAnsi="Times New Roman"/>
          <w:sz w:val="20"/>
        </w:rPr>
      </w:pPr>
      <w:r>
        <w:rPr>
          <w:rFonts w:ascii="Times New Roman" w:hAnsi="Times New Roman"/>
          <w:i/>
          <w:sz w:val="20"/>
        </w:rPr>
        <w:t>Expanding profitability</w:t>
      </w:r>
      <w:r>
        <w:rPr>
          <w:rFonts w:ascii="Times New Roman" w:hAnsi="Times New Roman"/>
          <w:sz w:val="20"/>
        </w:rPr>
        <w:t xml:space="preserve"> reflects our commitment to delivering profitable growth. In my report a year ago, I outlined how Life360 was at a pivotal point to leverage scale in the cost base and deliver a path to profitability. Our disciplined approach to cost in FY23 and continued strong revenue momentum, combined to deliver our first full year of positive Adjusted EBITDA. This ongoing approach underpins our expectation of a trajectory to positive EBITDA in FY25, and ultimately strong EBITDA margins.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Slide 14 </w:t>
      </w:r>
    </w:p>
    <w:p>
      <w:pPr>
        <w:pStyle w:val="TextBody"/>
        <w:bidi w:val="0"/>
        <w:spacing w:before="120" w:after="0"/>
        <w:jc w:val="left"/>
        <w:rPr>
          <w:rFonts w:ascii="Times New Roman" w:hAnsi="Times New Roman"/>
          <w:sz w:val="20"/>
        </w:rPr>
      </w:pPr>
      <w:r>
        <w:rPr>
          <w:rFonts w:ascii="Times New Roman" w:hAnsi="Times New Roman"/>
          <w:sz w:val="20"/>
        </w:rPr>
        <w:t xml:space="preserve">Finally turning to our earnings guidance. </w:t>
      </w:r>
    </w:p>
    <w:p>
      <w:pPr>
        <w:pStyle w:val="TextBody"/>
        <w:bidi w:val="0"/>
        <w:spacing w:before="240" w:after="0"/>
        <w:jc w:val="left"/>
        <w:rPr>
          <w:rFonts w:ascii="Times New Roman" w:hAnsi="Times New Roman"/>
          <w:sz w:val="20"/>
        </w:rPr>
      </w:pPr>
      <w:r>
        <w:rPr>
          <w:rFonts w:ascii="Times New Roman" w:hAnsi="Times New Roman"/>
          <w:sz w:val="20"/>
        </w:rPr>
        <w:t xml:space="preserve">Life360 has maintained the FY24 earnings guidance included in the Q124 results announcement released on 10 May 2024 (AEST)/9 May (U.S. PT).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7 </w:t>
      </w:r>
    </w:p>
    <w:p>
      <w:pPr>
        <w:pStyle w:val="TextBody"/>
        <w:bidi w:val="0"/>
        <w:jc w:val="center"/>
        <w:rPr/>
      </w:pPr>
      <w:bookmarkStart w:id="10" w:name="d844406dex992.htm"/>
      <w:bookmarkStart w:id="11" w:name="ksd844406dex992"/>
      <w:bookmarkEnd w:id="10"/>
      <w:bookmarkEnd w:id="11"/>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color w:val="FFFFFF"/>
        </w:rPr>
      </w:pPr>
      <w:r>
        <w:rPr>
          <w:color w:val="FFFFFF"/>
        </w:rPr>
        <w:t>•• •• •• • •• •• • • ••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billion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29495</Words>
  <Characters>150660</Characters>
  <CharactersWithSpaces>180054</CharactersWithSpaces>
  <Paragraphs>2003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