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946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07/01/2025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3,125</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65.93</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15,625</w:t>
            </w:r>
            <w:r>
              <w:rPr>
                <w:rFonts w:ascii="Times New Roman" w:cs="Times New Roman" w:eastAsia="Times New Roman" w:hAnsi="Times New Roman"/>
                <w:sz w:val="10"/>
                <w:szCs w:val="10"/>
                <w:color w:val="008000"/>
              </w:rPr>
              <w:t>(3)(4)(5)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3,344</w:t>
            </w:r>
            <w:r>
              <w:rPr>
                <w:rFonts w:ascii="Times New Roman" w:cs="Times New Roman" w:eastAsia="Times New Roman" w:hAnsi="Times New Roman"/>
                <w:sz w:val="11"/>
                <w:szCs w:val="11"/>
                <w:color w:val="008000"/>
                <w:w w:val="86"/>
              </w:rPr>
              <w:t>(3)(6)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97"/>
              </w:rPr>
              <w:t>77,604</w:t>
            </w:r>
            <w:r>
              <w:rPr>
                <w:rFonts w:ascii="Times New Roman" w:cs="Times New Roman" w:eastAsia="Times New Roman" w:hAnsi="Times New Roman"/>
                <w:sz w:val="22"/>
                <w:szCs w:val="22"/>
                <w:color w:val="008000"/>
                <w:w w:val="97"/>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$65.64 to $66.49,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1,742 directly held shares to the John Coghlan Living Trust, which transfer was exempt from Section 16 pursuant to Rule 16a-13 under the Securities Exchange Act of 1934, as amended (the "Exchange Act").</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64,834 shares indirectly held by The John Philip Coghlan 2024 Grantor Retained Annuity Trust to the John Coghlan Living Trust, which transfer was exempt from Section 16 pursuant to Rule 16a-13 under the Exchange Act.</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77,604 shares indirectly held by the John Coghlan Living Trust to The John Philip Coghlan 2025 Grantor Retained Annuity Trust for the benefit of the Reporting Person and his family, which transfer was exempt from Section 16 pursuant to Rule 16a-13 under the Exchange Act.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3,344 restricted stock units previously granted, each of which represents a contingent right to receive one share of the Issuer's common stock upon vesting.</w:t>
      </w:r>
    </w:p>
    <w:p>
      <w:pPr>
        <w:sectPr>
          <w:pgSz w:w="11900" w:h="16838" w:orient="portrait"/>
          <w:cols w:equalWidth="0" w:num="1">
            <w:col w:w="11000"/>
          </w:cols>
          <w:pgMar w:left="460" w:top="219"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07/03/2025</w:t>
            </w:r>
          </w:p>
        </w:tc>
      </w:tr>
      <w:tr>
        <w:trPr>
          <w:trHeight w:val="193"/>
        </w:trPr>
        <w:tc>
          <w:tcPr>
            <w:tcW w:w="19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2025-07-03T15:56:01Z</dcterms:created>
  <dcterms:modified xsi:type="dcterms:W3CDTF">2025-07-03T15:56:01Z</dcterms:modified>
</cp:coreProperties>
</file>