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Kapoor Samir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LIFE360,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539 BRYANT STREET, SUITE 402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Life360,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360.AX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11/16/2022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94107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4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00"/>
              <w:spacing w:after="0"/>
              <w:rPr>
                <w:sz w:val="20"/>
                <w:szCs w:val="20"/>
                <w:color w:val="auto"/>
              </w:rPr>
            </w:pPr>
            <w:r>
              <w:rPr>
                <w:rFonts w:ascii="Arial" w:cs="Arial" w:eastAsia="Arial" w:hAnsi="Arial"/>
                <w:sz w:val="12"/>
                <w:szCs w:val="12"/>
                <w:b w:val="1"/>
                <w:bCs w:val="1"/>
                <w:color w:val="auto"/>
              </w:rPr>
              <w:t>2A. Deemed</w:t>
            </w:r>
          </w:p>
        </w:tc>
        <w:tc>
          <w:tcPr>
            <w:tcW w:w="36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3"/>
                <w:szCs w:val="13"/>
                <w:color w:val="auto"/>
              </w:rPr>
            </w:pPr>
          </w:p>
        </w:tc>
        <w:tc>
          <w:tcPr>
            <w:tcW w:w="20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4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7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gridSpan w:val="2"/>
          </w:tcPr>
          <w:p>
            <w:pPr>
              <w:ind w:left="100"/>
              <w:spacing w:after="0"/>
              <w:rPr>
                <w:sz w:val="20"/>
                <w:szCs w:val="20"/>
                <w:color w:val="auto"/>
              </w:rPr>
            </w:pPr>
            <w:r>
              <w:rPr>
                <w:rFonts w:ascii="Arial" w:cs="Arial" w:eastAsia="Arial" w:hAnsi="Arial"/>
                <w:sz w:val="12"/>
                <w:szCs w:val="12"/>
                <w:b w:val="1"/>
                <w:bCs w:val="1"/>
                <w:color w:val="auto"/>
              </w:rPr>
              <w:t>(D)</w:t>
            </w:r>
          </w:p>
        </w:tc>
        <w:tc>
          <w:tcPr>
            <w:tcW w:w="7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11/16/2022</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w w:val="79"/>
                <w:vertAlign w:val="subscript"/>
              </w:rPr>
              <w:t>S</w:t>
            </w:r>
            <w:r>
              <w:rPr>
                <w:rFonts w:ascii="Times New Roman" w:cs="Times New Roman" w:eastAsia="Times New Roman" w:hAnsi="Times New Roman"/>
                <w:sz w:val="11"/>
                <w:szCs w:val="11"/>
                <w:color w:val="008000"/>
                <w:w w:val="79"/>
              </w:rPr>
              <w:t>(1)</w:t>
            </w: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55"/>
              <w:spacing w:after="0"/>
              <w:rPr>
                <w:sz w:val="20"/>
                <w:szCs w:val="20"/>
                <w:color w:val="auto"/>
              </w:rPr>
            </w:pPr>
            <w:r>
              <w:rPr>
                <w:rFonts w:ascii="Times New Roman" w:cs="Times New Roman" w:eastAsia="Times New Roman" w:hAnsi="Times New Roman"/>
                <w:sz w:val="17"/>
                <w:szCs w:val="17"/>
                <w:color w:val="0000FF"/>
              </w:rPr>
              <w:t>11,175</w:t>
            </w:r>
          </w:p>
        </w:tc>
        <w:tc>
          <w:tcPr>
            <w:tcW w:w="2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10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13.9991</w:t>
            </w:r>
            <w:r>
              <w:rPr>
                <w:rFonts w:ascii="Times New Roman" w:cs="Times New Roman" w:eastAsia="Times New Roman" w:hAnsi="Times New Roman"/>
                <w:sz w:val="22"/>
                <w:szCs w:val="22"/>
                <w:color w:val="008000"/>
                <w:w w:val="99"/>
                <w:vertAlign w:val="superscript"/>
              </w:rPr>
              <w:t>(2)(3)</w:t>
            </w:r>
          </w:p>
        </w:tc>
        <w:tc>
          <w:tcPr>
            <w:tcW w:w="116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51,457</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gridSpan w:val="2"/>
          </w:tcPr>
          <w:p>
            <w:pPr>
              <w:ind w:left="2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00" w:type="dxa"/>
            <w:vAlign w:val="bottom"/>
          </w:tcPr>
          <w:p>
            <w:pPr>
              <w:spacing w:after="0"/>
              <w:rPr>
                <w:sz w:val="11"/>
                <w:szCs w:val="11"/>
                <w:color w:val="auto"/>
              </w:rPr>
            </w:pPr>
          </w:p>
        </w:tc>
        <w:tc>
          <w:tcPr>
            <w:tcW w:w="8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200" w:type="dxa"/>
            <w:vAlign w:val="bottom"/>
          </w:tcPr>
          <w:p>
            <w:pPr>
              <w:spacing w:after="0"/>
              <w:rPr>
                <w:sz w:val="14"/>
                <w:szCs w:val="14"/>
                <w:color w:val="auto"/>
              </w:rPr>
            </w:pP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sale was executed on the Australian Securities Exchange (the "ASX") as Chess Depositary Interests ("CDIs") and sold using Australian Dollars. The CDIs are traded on the ASX and are held by CHESS Depositary Nominees Pty, Limited, a subsidiary of ASX Limited, the company that operates the ASX.</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price is expressed in United States Dollars using the conversion rate on November 16, 2022.</w:t>
      </w:r>
    </w:p>
    <w:p>
      <w:pPr>
        <w:spacing w:after="0" w:line="50" w:lineRule="exact"/>
        <w:rPr>
          <w:rFonts w:ascii="Times New Roman" w:cs="Times New Roman" w:eastAsia="Times New Roman" w:hAnsi="Times New Roman"/>
          <w:sz w:val="13"/>
          <w:szCs w:val="13"/>
          <w:color w:val="008000"/>
        </w:rPr>
      </w:pPr>
    </w:p>
    <w:p>
      <w:pPr>
        <w:jc w:val="both"/>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is a weighted average price. These shares were sold in multiple transactions. Prices ranged from US$13.9782 to US$14.0996 per share, inclusive. The Reporting Person undertakes to provide to the Issuer, any security holder of the Issuer, or to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4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of the Issuer's common stock underlying CDIs and 51,357 restricted stock units, each of which represents a contingent right to receive one share of the Issuer's common stock upon vesting.</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Daniel Menudier, as</w:t>
            </w:r>
          </w:p>
        </w:tc>
        <w:tc>
          <w:tcPr>
            <w:tcW w:w="46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11/18/2022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32558" TargetMode="External"/><Relationship Id="rId13"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2022-11-18T17:35:22Z</dcterms:created>
  <dcterms:modified xsi:type="dcterms:W3CDTF">2022-11-18T17:35:22Z</dcterms:modified>
</cp:coreProperties>
</file>