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173355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Life360,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66"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001-42120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26-0197666</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1900 South Norfolk Street, Suite 310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San Mateo, CA 94403</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(415) 484-5244</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193675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275" w:lineRule="exact"/>
        <w:rPr>
          <w:sz w:val="24"/>
          <w:szCs w:val="24"/>
          <w:color w:val="auto"/>
        </w:rPr>
      </w:pPr>
    </w:p>
    <w:p>
      <w:pPr>
        <w:ind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LIF</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11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June 6, 2024, Life360, Inc. (the “Company”) entered into an underwriting agreement (the “Underwriting Agreement”) with Goldman Sachs &amp; Co. LLC, Evercore Group L.L.C. and UBS Securities, LLC as representatives of the several underwriters named therein (collectively, the “Underwriters”), and certain selling securityholders named in Schedule II thereto (the “Selling Securityholders”), relating to the underwritten initial public offering of 5,750,000 shares of the Company’s common stock, par value $0.001 per share (the “Common Stock”), pursuant to the Company’s automatic shelf Registration Statement on Form S-3 (File No. 333-279271) and a related prospectus and prospectus supplement at a public offering price of $27.00 per share (the “Offering”).</w:t>
      </w:r>
    </w:p>
    <w:p>
      <w:pPr>
        <w:spacing w:after="0" w:line="187"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The Offering consisted of 3,703,704 shares of Common Stock issued and sold by the Company (the “Primary Shares”) and 2,046,296 shares of Common Stock sold by the Selling Securityholders (the “Secondary Shares” and, together with the Primary Shares, the “Shares”). Under the terms of the Underwriting Agreement, the Selling Securityholders granted the Underwriters an option exercisable for 30 days to purchase up to an additional 862,500 shares of Common Stock at the initial public offering price, less underwriting discounts and commissions. The Shares were delivered against payment therefor on June 7, 2024.</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Company received net proceeds from the Offering of approximately $83.1 million, after deducting the underwriting discounts and commissions and estimated offering expenses payable by the Company, including the payment of the underwriting discounts and commissions applicable to the sale of shares of Common Stock by the Selling Securityholders. The Company intends to use the net proceeds that it received from the Offering for general corporate purposes, including working capital, operating expenses, and capital expenditures. The Company may also use a portion of the net proceeds from the Offering for acquisitions or strategic investments in complementary businesses, products, services or technologies, although it does not currently have any agreements or commitments to enter into any such acquisitions or investments.</w:t>
      </w:r>
    </w:p>
    <w:p>
      <w:pPr>
        <w:spacing w:after="0" w:line="18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Selling Securityholders received proceeds, before expenses from the Offering of approximately $51.4 million. The Company will not receive any of the proceeds from the sale of shares of Common Stock by the Selling Securityholders, but it has agreed to pay the Selling Securityholders for certain of their expenses in connection with the Offering, including all underwriting discounts and commissions applicable to the sale of shares of Common Stock by the Selling Securityholders.</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covenants by the Company and the Selling Securityholders, customary conditions to closing, indemnification obligations of the Company, the Selling Securityholders,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and were solely for the benefit of the parties to such agreement.</w:t>
      </w:r>
    </w:p>
    <w:p>
      <w:pPr>
        <w:spacing w:after="0" w:line="183"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terms of the Underwriting Agreement is qualified in its entirety by reference to the Underwriting Agreement, which is filed as Exhibit 1.1 hereto. A copy of the opinion of Cooley LLP relating to the legality of the issuance and sale of the securities in the Offering is filed as Exhibit 5.1 hereto.</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of Initial Public Offering</w:t>
      </w:r>
    </w:p>
    <w:p>
      <w:pPr>
        <w:spacing w:after="0" w:line="11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On June 6, 2024, the Company issued a media release announcing the pricing of the Offering. A copy of the media release is filed as Exhibit 99.1 to this Report.</w:t>
      </w:r>
    </w:p>
    <w:p>
      <w:pPr>
        <w:sectPr>
          <w:pgSz w:w="11900" w:h="16838" w:orient="portrait"/>
          <w:cols w:equalWidth="0" w:num="1">
            <w:col w:w="11000"/>
          </w:cols>
          <w:pgMar w:left="440" w:top="293"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7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6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04"/>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7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57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Underwriting Agreement, dated June 6, 2024</w:t>
            </w: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32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Opinion of Cooley LLP</w:t>
            </w:r>
          </w:p>
        </w:tc>
        <w:tc>
          <w:tcPr>
            <w:tcW w:w="2540" w:type="dxa"/>
            <w:vAlign w:val="bottom"/>
            <w:gridSpan w:val="3"/>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7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Consent of Cooley LLP (contained in Exhibit 5.1)</w:t>
            </w: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5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Media release of the registrant dated June 6, 2024</w:t>
            </w:r>
          </w:p>
        </w:tc>
        <w:tc>
          <w:tcPr>
            <w:tcW w:w="2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r>
      <w:tr>
        <w:trPr>
          <w:trHeight w:val="34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7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rPr>
          <w:sz w:val="20"/>
          <w:szCs w:val="20"/>
          <w:color w:val="auto"/>
        </w:rPr>
        <w:sectPr>
          <w:pgSz w:w="11900" w:h="16838" w:orient="portrait"/>
          <w:cols w:equalWidth="0" w:num="1">
            <w:col w:w="10019"/>
          </w:cols>
          <w:pgMar w:left="440" w:top="293"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June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Russell Burke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Evercore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representatives (the “Representatives”) of the several Underwriters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Evercore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East 52nd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10055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UBS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Life360, Inc., a Delaware corporation (the “Company”), proposes, subject to the terms and conditions stated in this agreement (this “Agreement”), to issue and sell to the Underwriters named in Schedule I hereto (the “Underwriters”) an aggregate of 3,703,704 shares of common stock, par value $0.001 per share (“Stock”), of the Company and the stockholders of the Company named in Schedule II hereto (the “Selling Stockholders”) propose, subject to the terms and conditions stated in this this Agreement, to sell to the Underwriters an aggregate of 2,046,296 shares and, at the election of the Underwriters, up to 862,500 additional shares of Stock. The aggregate of 5,750,000 shares to be sold by the Company and the Selling Stockholders is herein called the “Firm Shares” and the aggregate of 862,500 additional shares to be sold by the Selling Stockholders is herein called the “Optional Shares”. The Firm Shares and the Optional Shares that the Underwriters elect to purchase pursuant to Section 2 hereof are herein collectively called the “Securities.”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(a) The Company represents and warrants to, and agrees with, each of the Underwriters that:</w:t>
      </w:r>
    </w:p>
    <w:p>
      <w:pPr>
        <w:sectPr>
          <w:pgSz w:w="11900" w:h="16838" w:orient="portrait"/>
          <w:cols w:equalWidth="0" w:num="1">
            <w:col w:w="11020"/>
          </w:cols>
          <w:pgMar w:left="440" w:top="117" w:right="439" w:bottom="1440" w:gutter="0" w:footer="0" w:header="0"/>
        </w:sectPr>
      </w:pPr>
    </w:p>
    <w:bookmarkStart w:id="5" w:name="page6"/>
    <w:bookmarkEnd w:id="5"/>
    <w:p>
      <w:pPr>
        <w:ind w:firstLine="419"/>
        <w:spacing w:after="0" w:line="251" w:lineRule="auto"/>
        <w:tabs>
          <w:tab w:leader="none" w:pos="63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“automatic shelf registration statement” as defined under Rule 405 under the Securities Act of 1933, as amended (the “Act”) on Form S-3 (File No. 333-279271) in respect of the Securities has been filed with the Securities and Exchange Commission (the “Commission”) not earlier than three years prior to the date hereof; such registration statement, and any post-effective amendment thereto, became effective on filing; and no stop order suspending the effectiveness of such registration statement or any part thereof has been issued and no proceeding for that purpose has been initiated or, to the Company’s knowledge, threatened by the Commission, and no notice of objection of the Commission to the use of such registration statement or any post-effective amendment thereto pursuant to Rule 401(g)(2) under the Act has been received by the Company (the base prospectus filed as part of such registration statement, in the form in which it has most recently been filed with the Commission on or prior to the date of this Agreement, is hereinafter called the “Basic Prospectus”; any preliminary prospectus (including any preliminary prospectus supplement) relating to the Securities filed with the Commission pursuant to Rule 424(b) under the Act is hereinafter called a “Preliminary Prospectus”; the various parts of such registration statement, including all exhibits thereto but excluding Form T-1 and including any prospectus supplement relating to the Securities that is filed with the Commission and deemed by virtue of Rule 430B to be part of such registration statement, each as amended at the time such part of the registration statement became effective, are hereinafter collectively called the “Registration Statement”; the Basic Prospectus, as amended and supplemented immediately prior to the Applicable Time (as defined in Section 1(c) hereof), is hereinafter called the “Pricing Prospectus”; the form of the final prospectus relating to the Securities filed with the Commission pursuant to Rule 424(b) under the Act in accordance with Section 5(a) hereof is hereinafter called the “Prospectus”; any reference herein to the Basic Prospectus, the Pricing Prospectus, any Preliminary Prospectus or the Prospectus shall be deemed to refer to and include the documents incorporated by reference therein pursuant to Item 12 of Form S-3 under the Act, as of the date of such prospectus; any reference to any amendment or supplement to the Basic Prospectus, any Preliminary Prospectus or the Prospectus shall be deemed to refer to and include any post-effective amendment to the Registration Statement, any prospectus supplement relating to the Securities filed with the Commission pursuant to Rule 424(b) under the Act and any documents filed under the Securities Exchange Act of 1934, as amended (the “Exchange Act”), and incorporated therein, in each case after the date of the Basic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oral or written communication with potential investors undertaken in reliance on Rule 163B under the Act is hereinafter called a “Testing-the-Waters Communication”; and any Testing-the-Waters Communication that is a written communication within the meaning of Rule 405 under the Act is hereinafter called a “Written Testing-the-Waters Communication”; and any “issuer free writing prospectus” as defined in Rule 433 under the Act relating to the Securities is hereinafter called an “Issuer Free Writing Prospectus”);</w:t>
      </w:r>
    </w:p>
    <w:p>
      <w:pPr>
        <w:spacing w:after="0" w:line="13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80" w:top="270" w:right="459" w:bottom="1440" w:gutter="0" w:footer="0" w:header="0"/>
        </w:sectPr>
      </w:pPr>
    </w:p>
    <w:bookmarkStart w:id="6" w:name="page7"/>
    <w:bookmarkEnd w:id="6"/>
    <w:p>
      <w:pPr>
        <w:ind w:right="160" w:firstLine="419"/>
        <w:spacing w:after="0" w:line="255" w:lineRule="auto"/>
        <w:tabs>
          <w:tab w:leader="none" w:pos="68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in Section 9(c) of this Agreement) or any Selling Stockholder Information (as defined in Section 1(b)(vi) of this Agreement);</w:t>
      </w:r>
    </w:p>
    <w:p>
      <w:pPr>
        <w:spacing w:after="0" w:line="188" w:lineRule="exact"/>
        <w:rPr>
          <w:rFonts w:ascii="Times New Roman" w:cs="Times New Roman" w:eastAsia="Times New Roman" w:hAnsi="Times New Roman"/>
          <w:sz w:val="18"/>
          <w:szCs w:val="18"/>
          <w:color w:val="auto"/>
        </w:rPr>
      </w:pPr>
    </w:p>
    <w:p>
      <w:pPr>
        <w:ind w:firstLine="419"/>
        <w:spacing w:after="0" w:line="253" w:lineRule="auto"/>
        <w:tabs>
          <w:tab w:leader="none" w:pos="73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the “Applicable Time” is 2:30 am (Eastern time) on the date of this Agreement. The Pricing Prospectus, as supplemented by the information listed on Schedule III(c) hereto, taken together (collectively, the “Pricing Disclosure Package”), as of the Applicable Time did not, and as of each Time of Delivery (as defined in Section 4(a) of this Agreement) (as supplemented by any post-effective amendment thereto)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each Time of Delivery (as supplemented by any post-effective amendment thereto)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 or any Selling Stockholder Information;</w:t>
      </w:r>
    </w:p>
    <w:p>
      <w:pPr>
        <w:spacing w:after="0" w:line="189" w:lineRule="exact"/>
        <w:rPr>
          <w:rFonts w:ascii="Times New Roman" w:cs="Times New Roman" w:eastAsia="Times New Roman" w:hAnsi="Times New Roman"/>
          <w:sz w:val="18"/>
          <w:szCs w:val="18"/>
          <w:color w:val="auto"/>
        </w:rPr>
      </w:pPr>
    </w:p>
    <w:p>
      <w:pPr>
        <w:ind w:right="60" w:firstLine="419"/>
        <w:spacing w:after="0" w:line="256" w:lineRule="auto"/>
        <w:tabs>
          <w:tab w:leader="none" w:pos="7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incorporated by reference in the Pricing Prospectus and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any further documents so filed and incorporated by reference in the Pricing Prospectus and the Prospectus or any further amendment or supplement thereto, when such documents become effective or are filed with the Commission,</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7" w:name="page8"/>
    <w:bookmarkEnd w:id="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 or any Selling Stockholder Information; and no such documents were filed with the Commission since the Commission’s close of business on the business day immediately prior to the date of this Agreement and prior to the execution of this Agreement, except as set forth on Schedule III(b) hereto;</w:t>
      </w:r>
    </w:p>
    <w:p>
      <w:pPr>
        <w:spacing w:after="0" w:line="187" w:lineRule="exact"/>
        <w:rPr>
          <w:sz w:val="20"/>
          <w:szCs w:val="20"/>
          <w:color w:val="auto"/>
        </w:rPr>
      </w:pPr>
    </w:p>
    <w:p>
      <w:pPr>
        <w:ind w:right="80" w:firstLine="419"/>
        <w:spacing w:after="0" w:line="254"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(in the case of the Prospectus and any amendment or supplement thereto, in light of the circumstances under which they were made) not misleading; provided, however, that this representation and warranty shall not apply to any statements or omissions made in reliance upon and in conformity with the Underwriter Information or any Selling Stockholder Information;</w:t>
      </w:r>
    </w:p>
    <w:p>
      <w:pPr>
        <w:spacing w:after="0" w:line="191" w:lineRule="exact"/>
        <w:rPr>
          <w:rFonts w:ascii="Times New Roman" w:cs="Times New Roman" w:eastAsia="Times New Roman" w:hAnsi="Times New Roman"/>
          <w:sz w:val="18"/>
          <w:szCs w:val="18"/>
          <w:color w:val="auto"/>
        </w:rPr>
      </w:pPr>
    </w:p>
    <w:p>
      <w:pPr>
        <w:ind w:firstLine="419"/>
        <w:spacing w:after="0" w:line="253" w:lineRule="auto"/>
        <w:tabs>
          <w:tab w:leader="none" w:pos="7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since the date of the latest audited financial statements included or incorporated by reference in the Pricing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 than as set forth or contemplated in the Pricing Prospectus; and, since the respective dates as of which information is given in the Registration Statement and the Pricing Prospectus, there has not been (x) any change in the capital stock (other than as a result of (i) the exercise, vesting, settlement or forfeiture, if any, of stock options, restricted stock units (including any “net” or “cashless” exercises or settlements), restricted stock awards or any other equity awards or the award, if any, of stock options, restricted stock units, restricted stock awards or any other equity awards in the ordinary course of business pursuant to the Company’s equity plans that are described in the Pricing Prospectus and the Prospectus or (ii) the issuance, if any, of stock upon exercise, conversion or exchange of Company securities as described in the Pricing Prospectus and the Prospectus) or long term debt of the Company or any of its subsidiaries or (y) any Material</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8" w:name="page9"/>
    <w:bookmarkEnd w:id="8"/>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stockholders’ equity or results of operations of the Company and its subsidiaries, taken as a whole, except as set forth or contemplated in the Pricing Prospectus, or (ii) the ability of the Company to perform its obligations under this Agreement, including the issuance and sale of the Securities, or to consummate the transactions contemplated in the Pricing Prospectus and the Prospectus;</w:t>
      </w:r>
    </w:p>
    <w:p>
      <w:pPr>
        <w:spacing w:after="0" w:line="183" w:lineRule="exact"/>
        <w:rPr>
          <w:sz w:val="20"/>
          <w:szCs w:val="20"/>
          <w:color w:val="auto"/>
        </w:rPr>
      </w:pPr>
    </w:p>
    <w:p>
      <w:pPr>
        <w:ind w:firstLine="419"/>
        <w:spacing w:after="0" w:line="253" w:lineRule="auto"/>
        <w:tabs>
          <w:tab w:leader="none" w:pos="7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good and marketable title in fee simple to all real property and good and marketable title to all personal property owned by them (other than with respect to intellectual property and Intellectual Property Rights, title to which is addressed exclusively in subsection (xxv) of this Section 1(a)), in each case free and clear of all liens, encumbrances and defects except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to the Company’s knowledge, under valid, subsisting and enforceable leases (subject to the effects of (A) bankruptcy, insolvency, fraudulent conveyance, fraudulent transfer, reorganization, moratorium or other similar laws relating to or affecting the rights or remedies of creditors generally, (B) the application of general principles of equity (including without limitation, concepts of materiality, reasonableness, good faith and fair dealing, regardless of whether enforcement is considered in proceedings at law or in equity) and (C) applicable law and public policy with respect to the rights to indemnity and contribution) with such exceptions as are not material and do not materially interfere with the use made and proposed to be made of such property and buildings by the Company and its subsidiaries;</w:t>
      </w:r>
    </w:p>
    <w:p>
      <w:pPr>
        <w:spacing w:after="0" w:line="191" w:lineRule="exact"/>
        <w:rPr>
          <w:rFonts w:ascii="Times New Roman" w:cs="Times New Roman" w:eastAsia="Times New Roman" w:hAnsi="Times New Roman"/>
          <w:sz w:val="18"/>
          <w:szCs w:val="18"/>
          <w:color w:val="auto"/>
        </w:rPr>
      </w:pPr>
    </w:p>
    <w:p>
      <w:pPr>
        <w:ind w:right="80" w:firstLine="419"/>
        <w:spacing w:after="0" w:line="255" w:lineRule="auto"/>
        <w:tabs>
          <w:tab w:leader="none" w:pos="8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of its subsidiaries has been (i) duly organized and is validly existing and in good standing under the laws of its jurisdiction of organization (where such concept exists), with power and authority (corporate and other) to own its properties and conduct its business as described in the Pricing Prospectus, and (ii) duly qualified as a foreign corporation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significant subsidiary of the Company (as such term is defined in Rule 1-02 of Regulation S-X promulgated under the Act) has been listed in Exhibit 21.1 to the Registration Statement;</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0"/>
          </w:cols>
          <w:pgMar w:left="880" w:top="270" w:right="439" w:bottom="1440" w:gutter="0" w:footer="0" w:header="0"/>
        </w:sectPr>
      </w:pPr>
    </w:p>
    <w:bookmarkStart w:id="9" w:name="page10"/>
    <w:bookmarkEnd w:id="9"/>
    <w:p>
      <w:pPr>
        <w:ind w:left="4" w:right="20" w:firstLine="419"/>
        <w:spacing w:after="0" w:line="256" w:lineRule="auto"/>
        <w:tabs>
          <w:tab w:leader="none" w:pos="73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an authorized capitalization as set forth in the Pricing Prospectus and all of the issued and outstanding shares of capital stock of the Company, including the Securities to be sold by the Selling Stockholders, have been duly and validly authorized and issued and are fully paid and non-assessable and conform in all material respects to the description of the Stock contained in the Pricing Disclosure Package and the Prospectus; and all of the issued and outstanding shares of capital stock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w:t>
      </w:r>
    </w:p>
    <w:p>
      <w:pPr>
        <w:spacing w:after="0" w:line="187" w:lineRule="exact"/>
        <w:rPr>
          <w:rFonts w:ascii="Times New Roman" w:cs="Times New Roman" w:eastAsia="Times New Roman" w:hAnsi="Times New Roman"/>
          <w:sz w:val="18"/>
          <w:szCs w:val="18"/>
          <w:color w:val="auto"/>
        </w:rPr>
      </w:pPr>
    </w:p>
    <w:p>
      <w:pPr>
        <w:ind w:left="4" w:right="20" w:firstLine="419"/>
        <w:spacing w:after="0" w:line="289" w:lineRule="auto"/>
        <w:tabs>
          <w:tab w:leader="none" w:pos="681"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to be issued and sold by the Company have been duly and validly authorized and, when issued and delivered against payment therefor as provided herein, will be duly and validly issued and fully paid and non-assessable and will conform in all material respects to the description of the Securities contained in the Prospectus; and the issuance of the Securities is not subject to any preemptive or similar rights;</w:t>
      </w:r>
    </w:p>
    <w:p>
      <w:pPr>
        <w:spacing w:after="0" w:line="157" w:lineRule="exact"/>
        <w:rPr>
          <w:rFonts w:ascii="Times New Roman" w:cs="Times New Roman" w:eastAsia="Times New Roman" w:hAnsi="Times New Roman"/>
          <w:sz w:val="17"/>
          <w:szCs w:val="17"/>
          <w:color w:val="auto"/>
        </w:rPr>
      </w:pPr>
    </w:p>
    <w:p>
      <w:pPr>
        <w:ind w:left="4" w:right="80" w:firstLine="419"/>
        <w:spacing w:after="0" w:line="268" w:lineRule="auto"/>
        <w:tabs>
          <w:tab w:leader="none" w:pos="731"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 and sale of the Securities to be sold by the Company and the compliance by 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except, in the case of this clause (A) for such defaults, conflicts, breaches, or violations that would not, individually or in the aggregate, reasonably be expected to have a Material Adverse Effect, (B) the certificate of incorporation or by-laws (or other applicable organizational document) of the Company or any of its subsidiaries, or</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8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statute or any judgment, order, rule or regulation of any court or governmental agency or body having jurisdiction over the Company or any of its subsidiaries or any of their properties, except, in the case of this clause (C) for such defaults, conflicts, breaches or violations that would not, individually or in the aggregate, reasonably be expected to have a Material Adverse Effect; and no consent, approval, authorization, order, registration or qualification of or with any such court or governmental agency or body is required for the issue of the Securities to be sold by the Company and the sale of the Securities or the consummation by the Company of the transactions contemplated by this Agreement, except such as have been obtained under the Act, the approval by the Financial Industry Regulatory Authority (“FINRA”) of the underwriting terms and arrangements, the approval for listing of the Securities on The Nasdaq Global Select Market (the “Exchange”) and such consents, approvals, authorizations, orders, registrations or qualifications as may be required under state securities or Blue Sky laws in connection with the purchase and distribution of the Securities by the Underwriters;</w:t>
      </w:r>
    </w:p>
    <w:p>
      <w:pPr>
        <w:spacing w:after="0" w:line="126"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24"/>
          </w:cols>
          <w:pgMar w:left="876" w:top="270" w:right="499" w:bottom="1440" w:gutter="0" w:footer="0" w:header="0"/>
        </w:sectPr>
      </w:pPr>
    </w:p>
    <w:bookmarkStart w:id="10" w:name="page11"/>
    <w:bookmarkEnd w:id="10"/>
    <w:p>
      <w:pPr>
        <w:ind w:right="20" w:firstLine="419"/>
        <w:spacing w:after="0" w:line="255" w:lineRule="auto"/>
        <w:tabs>
          <w:tab w:leader="none" w:pos="7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any of its subsidiaries is (i) in violation of its certificate of incorporation or by-laws (or other applicable organization document), (ii) in violation of any statute or any judgment, order, rule (including the Australian Securities Exchange (“ASX”) Listing Rules)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firstLine="419"/>
        <w:spacing w:after="0" w:line="258" w:lineRule="auto"/>
        <w:tabs>
          <w:tab w:leader="none" w:pos="8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in the Pricing Prospectus and the Prospectus under the caption “Description of Capital Stock”, insofar as they purport to constitute a summary of the terms of the Stock and insofar as they purport to describe the provisions of the laws and documents referred to therein, are accurate, complete and fair in all material respects; the statements set forth in the Pricing Prospectus and Prospectus under the caption “Material U.S. Federal Income Tax Consequences to Non-U.S. Holders of our Common Stock”, insofar as such statements purport to summarize matters of U.S. federal income tax laws, fairly present, in all material respects, such U.S. federal income tax laws;</w:t>
      </w:r>
    </w:p>
    <w:p>
      <w:pPr>
        <w:spacing w:after="0" w:line="183" w:lineRule="exact"/>
        <w:rPr>
          <w:rFonts w:ascii="Times New Roman" w:cs="Times New Roman" w:eastAsia="Times New Roman" w:hAnsi="Times New Roman"/>
          <w:sz w:val="18"/>
          <w:szCs w:val="18"/>
          <w:color w:val="auto"/>
        </w:rPr>
      </w:pPr>
    </w:p>
    <w:p>
      <w:pPr>
        <w:ind w:right="20" w:firstLine="419"/>
        <w:spacing w:after="0" w:line="253" w:lineRule="auto"/>
        <w:tabs>
          <w:tab w:leader="none" w:pos="8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the Pricing Prospectus, there are no legal, governmental or regulatory investigations, actions, demands, claims, suits, arbitrations, inquiries or proceedings (“Actions”)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reasonably be expected to have a Material Adverse Effect; and, to the Company’s knowledge, no such proceedings are threatened or contemplated by governmental authorities or others; there are no current or pending Actions that are required under the Act to be described in the Registration Statement or the Pricing Prospectus that are not so described in all material respects therein; and there are no statutes, regulations or contracts or other documents that are required under the Act to be filed as exhibits to the Registration Statement or described in the Registration Statement, the Pricing Prospectus that are not so filed as exhibits to the Registration Statement or described in all material respects in the Registration Statement and the Pricing Prospectus;</w:t>
      </w:r>
    </w:p>
    <w:p>
      <w:pPr>
        <w:spacing w:after="0" w:line="194" w:lineRule="exact"/>
        <w:rPr>
          <w:rFonts w:ascii="Times New Roman" w:cs="Times New Roman" w:eastAsia="Times New Roman" w:hAnsi="Times New Roman"/>
          <w:sz w:val="18"/>
          <w:szCs w:val="18"/>
          <w:color w:val="auto"/>
        </w:rPr>
      </w:pPr>
    </w:p>
    <w:p>
      <w:pPr>
        <w:ind w:right="240" w:firstLine="419"/>
        <w:spacing w:after="0" w:line="266" w:lineRule="auto"/>
        <w:tabs>
          <w:tab w:leader="none" w:pos="7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immediately after giving effect to the offering and sale of the Securities and the application of the proceeds thereof, will not be an “investment company”, as such term is defined in the Investment Company Act of 1940, as amended (the “Investment Company Act”);</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1" w:name="page12"/>
    <w:bookmarkEnd w:id="11"/>
    <w:p>
      <w:pPr>
        <w:ind w:firstLine="419"/>
        <w:spacing w:after="0" w:line="254" w:lineRule="auto"/>
        <w:tabs>
          <w:tab w:leader="none" w:pos="8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(i) At the time of filing the Registration Statement, (ii) at the time of the most recent amendment thereto for the purposes of complying with Section 10(a)(3) of the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Act) made any offer relating to the Securities in reliance on the exemption of Rule 163 under the Act, the Company was a “well-known seasoned issuer” as defined in Rule 405 under the Act; and (B) at the time of filing the Registration Statement and any post-effective amendment thereto, at the earliest time thereafter that the Company or any offering participant made a bona fide offer (within the meaning of Rule 164(h)(2) under the Act) of the Securities, and at the date hereof, the Company was not and is not an “ineligible issuer,” as defined in Rule 405 under the Act;</w:t>
      </w:r>
    </w:p>
    <w:p>
      <w:pPr>
        <w:spacing w:after="0" w:line="191" w:lineRule="exact"/>
        <w:rPr>
          <w:rFonts w:ascii="Times New Roman" w:cs="Times New Roman" w:eastAsia="Times New Roman" w:hAnsi="Times New Roman"/>
          <w:sz w:val="18"/>
          <w:szCs w:val="18"/>
          <w:color w:val="auto"/>
        </w:rPr>
      </w:pPr>
    </w:p>
    <w:p>
      <w:pPr>
        <w:ind w:right="180" w:firstLine="419"/>
        <w:spacing w:after="0" w:line="266" w:lineRule="auto"/>
        <w:tabs>
          <w:tab w:leader="none" w:pos="8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Deloitte and Touche LLP (“Deloitte”) and BDO USA LLP (“BDO”) who have certified certain financial statements of the Company and its subsidiaries are each independent registered public accounting firms as required by the Act and the rules and regulations of the Commission thereunder;</w:t>
      </w:r>
    </w:p>
    <w:p>
      <w:pPr>
        <w:spacing w:after="0" w:line="175" w:lineRule="exact"/>
        <w:rPr>
          <w:rFonts w:ascii="Times New Roman" w:cs="Times New Roman" w:eastAsia="Times New Roman" w:hAnsi="Times New Roman"/>
          <w:sz w:val="18"/>
          <w:szCs w:val="18"/>
          <w:color w:val="auto"/>
        </w:rPr>
      </w:pPr>
    </w:p>
    <w:p>
      <w:pPr>
        <w:ind w:right="60" w:firstLine="419"/>
        <w:spacing w:after="0" w:line="253" w:lineRule="auto"/>
        <w:tabs>
          <w:tab w:leader="none" w:pos="9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control over financial reporting (as such term is defined in Rule 13a-15(f) under the Exchange Act that (i) complies with the requirements of the Exchange Act applicable to the Company,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designed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Company’s internal control over financial reporting is effective and the Company is not aware of any material weaknesses in its internal control over financial reporting;</w:t>
      </w:r>
    </w:p>
    <w:p>
      <w:pPr>
        <w:spacing w:after="0" w:line="194" w:lineRule="exact"/>
        <w:rPr>
          <w:rFonts w:ascii="Times New Roman" w:cs="Times New Roman" w:eastAsia="Times New Roman" w:hAnsi="Times New Roman"/>
          <w:sz w:val="18"/>
          <w:szCs w:val="18"/>
          <w:color w:val="auto"/>
        </w:rPr>
      </w:pPr>
    </w:p>
    <w:p>
      <w:pPr>
        <w:ind w:right="80" w:firstLine="419"/>
        <w:spacing w:after="0" w:line="266" w:lineRule="auto"/>
        <w:tabs>
          <w:tab w:leader="none" w:pos="8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latest audited financial statements included or incorporated by reference in the Pricing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175" w:lineRule="exact"/>
        <w:rPr>
          <w:rFonts w:ascii="Times New Roman" w:cs="Times New Roman" w:eastAsia="Times New Roman" w:hAnsi="Times New Roman"/>
          <w:sz w:val="18"/>
          <w:szCs w:val="18"/>
          <w:color w:val="auto"/>
        </w:rPr>
      </w:pPr>
    </w:p>
    <w:p>
      <w:pPr>
        <w:jc w:val="both"/>
        <w:ind w:right="260" w:firstLine="419"/>
        <w:spacing w:after="0" w:line="281" w:lineRule="auto"/>
        <w:tabs>
          <w:tab w:leader="none" w:pos="76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maintains disclosure controls and procedures (as such term is defined in Rule 13a-15(e) under the Exchange Act) that comply with the requirements of the Exchange Act applicable to the Company;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 in all material respects;</w:t>
      </w:r>
    </w:p>
    <w:p>
      <w:pPr>
        <w:spacing w:after="0" w:line="9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2" w:name="page13"/>
    <w:bookmarkEnd w:id="12"/>
    <w:p>
      <w:pPr>
        <w:ind w:firstLine="419"/>
        <w:spacing w:after="0" w:line="253" w:lineRule="auto"/>
        <w:tabs>
          <w:tab w:leader="none" w:pos="8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any of its subsidiaries, nor any director, or officer of the Company or any of its subsidiaries nor, to the knowledge of the Company, any agent, employee, affiliate or other person associated with or acting on behalf of the Company or any of its subsidiaries has (i) made, offered, promised or authorized any unlawful contribution, gift, entertainment or other unlawful expense (or taken any act in furtherance thereof); (ii) made, offered, promised or authorized any direct or indirect unlawful payment; or (iii) violated or is in violation of any provision of the Foreign Corrupt Practices Act of 1977, as amended, or the rules and regulations thereunder, the Bribery Act 2010 of the United Kingdom or any other applicable anti-corruption, anti-bribery or related law, statute or regulation (collectively, “Anti-Corruption Laws”); the Company and its subsidiaries have conducted their businesses in compliance with Anti-Corruption Laws and have instituted and maintained and will continue to maintain policies and procedures reasonably designed to promote and achieve compliance with such laws and with the representations and warranties contained herein; neither the Company nor any of its subsidiaries will use, directly or indirectly, the proceeds of the offering in furtherance of an unlawful offer, payment, promise to pay, or authorization of the payment or giving of money, or anything else of value, to any person in violation of Anti-Corruption Laws;</w:t>
      </w:r>
    </w:p>
    <w:p>
      <w:pPr>
        <w:spacing w:after="0" w:line="191" w:lineRule="exact"/>
        <w:rPr>
          <w:rFonts w:ascii="Times New Roman" w:cs="Times New Roman" w:eastAsia="Times New Roman" w:hAnsi="Times New Roman"/>
          <w:sz w:val="18"/>
          <w:szCs w:val="18"/>
          <w:color w:val="auto"/>
        </w:rPr>
      </w:pPr>
    </w:p>
    <w:p>
      <w:pPr>
        <w:ind w:right="140" w:firstLine="419"/>
        <w:spacing w:after="0" w:line="255" w:lineRule="auto"/>
        <w:tabs>
          <w:tab w:leader="none" w:pos="8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the rules and regulations thereunder and any related or similar rules, regulation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8" w:lineRule="exact"/>
        <w:rPr>
          <w:rFonts w:ascii="Times New Roman" w:cs="Times New Roman" w:eastAsia="Times New Roman" w:hAnsi="Times New Roman"/>
          <w:sz w:val="18"/>
          <w:szCs w:val="18"/>
          <w:color w:val="auto"/>
        </w:rPr>
      </w:pPr>
    </w:p>
    <w:p>
      <w:pPr>
        <w:ind w:right="40" w:firstLine="419"/>
        <w:spacing w:after="0" w:line="254" w:lineRule="auto"/>
        <w:tabs>
          <w:tab w:leader="none" w:pos="9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any director or officer of the Company or any of its subsidiaries nor, to the knowledge of the Company, any agent, employee, affiliate or other person associated with or acting on behalf of the Company or any of its subsidiaries is (i)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His Majesty’s Treasury, the United Nations Security Council, or other relevant sanctions authority (collectively, “Sanctions”), (ii) located, organized, or resident in a country or territory that is the subject or target of comprehensive Sanctions (currently, Cuba, Iran, North Korea, Syria, the Crimea, so-called Donetsk People’s Republic, or so-called Luhansk People’s Republic regions of Ukraine) (each, a “Sanctioned Jurisdiction”), and the Company will not directly or indirectly use the proceeds of the offering of the</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40"/>
          </w:cols>
          <w:pgMar w:left="880" w:top="270" w:right="479" w:bottom="1440" w:gutter="0" w:footer="0" w:header="0"/>
        </w:sectPr>
      </w:pPr>
    </w:p>
    <w:bookmarkStart w:id="13" w:name="page14"/>
    <w:bookmarkEnd w:id="13"/>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hereunder, or lend, contribute or otherwise make available such proceeds to any subsidiary, joint venture partner or other person or entity (i) to fund or facilitate any activities of or business with any person, or in any country or territory, that, at the time of such funding or facilitation, is the subject or the target of Sanctions prohibiting such funding or facilitation or (ii) in any other manner that will result in a violation by any person (including any person participating in the transaction, whether as underwriter, advisor, investor or otherwise) of Sanctions; neither the Company nor any of its subsidiaries is engaged in, or has, at any time in the past five years, engaged in, any dealings or transactions with or involving any individual or entity that was or is, as applicable, at the time of such dealing or transaction, the subject or target of Sanctions or with any Sanctioned Jurisdiction, except to the extent permissible for a Person required to comply with Sanctions; the Company and its subsidiaries have instituted, and maintain, policies and procedures designed to promote and achieve continued compliance with Sanctions;</w:t>
      </w:r>
    </w:p>
    <w:p>
      <w:pPr>
        <w:spacing w:after="0" w:line="192" w:lineRule="exact"/>
        <w:rPr>
          <w:sz w:val="20"/>
          <w:szCs w:val="20"/>
          <w:color w:val="auto"/>
        </w:rPr>
      </w:pPr>
    </w:p>
    <w:p>
      <w:pPr>
        <w:ind w:firstLine="419"/>
        <w:spacing w:after="0" w:line="269" w:lineRule="auto"/>
        <w:tabs>
          <w:tab w:leader="none" w:pos="907"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statements included in the Registration Statement, the Pricing Prospectus and the Prospectus,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U.S. generally accepted accounting principles (“GAAP”) applied on a consistent basis throughout the periods involved. The supporting schedules, if any, present fairly in all material respects in accordance with GAAP the information required to be stated therein. The selected financial data and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in all material respects with Regulation G of the Exchange Act and Item 10 of Regulation S-K of the Act, to the extent applicable;</w:t>
      </w:r>
    </w:p>
    <w:p>
      <w:pPr>
        <w:spacing w:after="0" w:line="178" w:lineRule="exact"/>
        <w:rPr>
          <w:rFonts w:ascii="Times New Roman" w:cs="Times New Roman" w:eastAsia="Times New Roman" w:hAnsi="Times New Roman"/>
          <w:sz w:val="17"/>
          <w:szCs w:val="17"/>
          <w:color w:val="auto"/>
        </w:rPr>
      </w:pPr>
    </w:p>
    <w:p>
      <w:pPr>
        <w:ind w:right="40" w:firstLine="419"/>
        <w:spacing w:after="0" w:line="258" w:lineRule="auto"/>
        <w:tabs>
          <w:tab w:leader="none" w:pos="8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the Company and each of its subsidiaries (i) own or otherwise possess (or can acquire on commercially reasonable terms) adequate rights to use all material patents, patent applications, trademarks, rights in service marks, trade names, domain names, copyrights and registrations and applications thereof, licenses, know-how, software, systems and technology (including trade secrets and other unpatented and/or unpatentable proprietary or confidential information, systems or procedures and other intellectual property rights (collectively, “Intellectual Property Rights”) reasonably</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70" w:right="479" w:bottom="1440" w:gutter="0" w:footer="0" w:header="0"/>
        </w:sectPr>
      </w:pPr>
    </w:p>
    <w:bookmarkStart w:id="14" w:name="page15"/>
    <w:bookmarkEnd w:id="1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necessary for the conduct of their respective businesses, (ii) do not, through the conduct of their respective businesses, infringe, misappropriate or otherwise violate the Intellectual Property Rights of others, (iii) have not received any written notice of any claim of infringement or other violation of any such Intellectual Property Rights; and (iv) to the Company’s knowledge, the Intellectual Property Rights of the Company and its subsidiaries is not being infringed, misappropriated or otherwise violated by any person;</w:t>
      </w:r>
    </w:p>
    <w:p>
      <w:pPr>
        <w:spacing w:after="0" w:line="180" w:lineRule="exact"/>
        <w:rPr>
          <w:sz w:val="20"/>
          <w:szCs w:val="20"/>
          <w:color w:val="auto"/>
        </w:rPr>
      </w:pPr>
    </w:p>
    <w:p>
      <w:pPr>
        <w:ind w:firstLine="419"/>
        <w:spacing w:after="0" w:line="252" w:lineRule="auto"/>
        <w:tabs>
          <w:tab w:leader="none" w:pos="9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the Pricing Prospectus and except as would not reasonably be expected to have a Material Adverse Effect, the Company and its subsidiaries are, and have at all times during the past three years, been in compliance with (i) all applicable laws or statutes and legally binding judgments, guidance, orders, rules and regulations of any court or arbitrator or governmental or regulatory authority, if applicable, governing the privacy, security and processing of “personal information,” “personal data,” “personally identifiable information” or similar information about identified natural persons regulated by applicable privacy laws) and governing the use of email, text message or telephone communications or other marketing activities, such as, to the extent applicable to the Company and its subsidiaries, the Federal Trade Commission Act, the Children’s Online Privacy Protection Act; the California Consumer Privacy Act and any other applicable U.S. state and federal personal data protection laws, the General Data Protection Regulation 2016/679, the Privacy and Electronic Communications Directive 2002/58/EC, the UK Data Protection Act 2018 (the “DPA”), and the UK General Data Protection Regulation as defined by the DPA as amended by the Data Protection, Privacy and Electronic Communications (Amendments etc.) (EU Exit) Regulations 2019 (collectively, “Data Protection Laws”), (ii) as applicable, the Company and its subsidiaries’ own respective written rules, policies, procedures, notices, and statements governing personal data, data privacy, protection, security or processing (including in respect of the IT System), and (iii) all applicable written contractual obligations binding upon the Company and its subsidiaries governing the processing of personal data, ((i)-(iii), together the “Data Protection Requirements”);</w:t>
      </w:r>
    </w:p>
    <w:p>
      <w:pPr>
        <w:spacing w:after="0" w:line="197" w:lineRule="exact"/>
        <w:rPr>
          <w:rFonts w:ascii="Times New Roman" w:cs="Times New Roman" w:eastAsia="Times New Roman" w:hAnsi="Times New Roman"/>
          <w:sz w:val="18"/>
          <w:szCs w:val="18"/>
          <w:color w:val="auto"/>
        </w:rPr>
      </w:pPr>
    </w:p>
    <w:p>
      <w:pPr>
        <w:ind w:right="40" w:firstLine="419"/>
        <w:spacing w:after="0" w:line="256" w:lineRule="auto"/>
        <w:tabs>
          <w:tab w:leader="none" w:pos="95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the Pricing Prospectus or except as would not, individually or in the aggregate, have a Material Adverse Effect, the Company and its subsidiaries (i) have not received any written complaint, claim, notice, request, correspondence, order, warrant, regulatory opinion, allegation, objection or other communication from any governmental or regulatory authority; and (ii) to the knowledge of the Company, are not presently subject to any governmental or regulatory enforcement action (including fines or any corrective measures), investigation, audit, action or proceedings (whether of a criminal, civil or administrative nature), in each case as (i) and (ii) relate to a breach or alleged breach by the Company or its subsidiaries of applicable Data Protection Requirements;</w:t>
      </w:r>
    </w:p>
    <w:p>
      <w:pPr>
        <w:spacing w:after="0" w:line="12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80"/>
          </w:cols>
          <w:pgMar w:left="880" w:top="270" w:right="539" w:bottom="1440" w:gutter="0" w:footer="0" w:header="0"/>
        </w:sectPr>
      </w:pPr>
    </w:p>
    <w:bookmarkStart w:id="15" w:name="page16"/>
    <w:bookmarkEnd w:id="15"/>
    <w:p>
      <w:pPr>
        <w:ind w:firstLine="419"/>
        <w:spacing w:after="0" w:line="255" w:lineRule="auto"/>
        <w:tabs>
          <w:tab w:leader="none" w:pos="10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last three years, other than as set forth in the Pricing Prospectus or except as would not, individually or in the aggregate, reasonably be expected to have a Material Adverse Effect, neither the Company nor its subsidiaries have (i) experienced any actual breach of security leading to the accidental or unlawful destruction, loss, alteration, unauthorized disclosure of, access to, or other compromise of the IT Systems and personal data transmitted, stored or otherwise processed by the Company or its subsidiaries (including, to the Company’s knowledge, any personal data processed or stored by third parties on behalf of the Company and any of its subsidiaries) (“Data Breach”), or (ii) paid any perpetrator of a Data Breach with actual or alleged information about a Data Breach pursuant to a request for payment from or on behalf of such perpetrator;</w:t>
      </w:r>
    </w:p>
    <w:p>
      <w:pPr>
        <w:spacing w:after="0" w:line="188" w:lineRule="exact"/>
        <w:rPr>
          <w:rFonts w:ascii="Times New Roman" w:cs="Times New Roman" w:eastAsia="Times New Roman" w:hAnsi="Times New Roman"/>
          <w:sz w:val="18"/>
          <w:szCs w:val="18"/>
          <w:color w:val="auto"/>
        </w:rPr>
      </w:pPr>
    </w:p>
    <w:p>
      <w:pPr>
        <w:ind w:right="20" w:firstLine="419"/>
        <w:spacing w:after="0" w:line="254" w:lineRule="auto"/>
        <w:tabs>
          <w:tab w:leader="none" w:pos="9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information technology assets and equipment, computers, systems, networks, hardware (including firmware, peripherals, communication equipment and links, storage media, networking equipment, power supplies and any other components or property used in conjunction with such), software, websites, applications, databases, and proprietary materials (collectively, “IT Systems”) are adequate for, and operate and function in all material respects properly as reasonably required in connection with the operation of the business of the Company and its subsidiaries as currently conducted, and to the knowledge of the Company, are free and clear of all material bugs, errors, defects, ransomware, spyware, Trojan horses, time bombs, malware or similar corruptants (“IT Viruses”). The Company and its subsidiaries have implemented and maintained commercially reasonable technical and organizational measures, controls, policies, procedures, and safeguards designed to protect the integrity, continuous operation, redundancy and security of all the material IT Systems and data under the Company’s care, custody or control and used in connection with their businesses;</w:t>
      </w:r>
    </w:p>
    <w:p>
      <w:pPr>
        <w:spacing w:after="0" w:line="188" w:lineRule="exact"/>
        <w:rPr>
          <w:rFonts w:ascii="Times New Roman" w:cs="Times New Roman" w:eastAsia="Times New Roman" w:hAnsi="Times New Roman"/>
          <w:sz w:val="18"/>
          <w:szCs w:val="18"/>
          <w:color w:val="auto"/>
        </w:rPr>
      </w:pPr>
    </w:p>
    <w:p>
      <w:pPr>
        <w:ind w:right="260" w:firstLine="419"/>
        <w:spacing w:after="0" w:line="266" w:lineRule="auto"/>
        <w:tabs>
          <w:tab w:leader="none" w:pos="8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forward-looking statement (within the meaning of Section 27A of the Act and Section 21E of the Exchange Act) included or incorporated by reference in any of the Registration Statement, the Pricing Prospectus or the Prospectus has been made or reaffirmed without a reasonable basis or has been disclosed other than in good faith;</w:t>
      </w:r>
    </w:p>
    <w:p>
      <w:pPr>
        <w:spacing w:after="0" w:line="175" w:lineRule="exact"/>
        <w:rPr>
          <w:rFonts w:ascii="Times New Roman" w:cs="Times New Roman" w:eastAsia="Times New Roman" w:hAnsi="Times New Roman"/>
          <w:sz w:val="18"/>
          <w:szCs w:val="18"/>
          <w:color w:val="auto"/>
        </w:rPr>
      </w:pPr>
    </w:p>
    <w:p>
      <w:pPr>
        <w:jc w:val="both"/>
        <w:ind w:right="60" w:firstLine="419"/>
        <w:spacing w:after="0" w:line="266" w:lineRule="auto"/>
        <w:tabs>
          <w:tab w:leader="none" w:pos="9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has come to the attention of the Company that has caused the Company to believe that the statistical and market-related data included in each of the Registration Statement, the Pricing Prospectus and the Prospectus is not based on or derived from sources that are reliable and accurate in all material respects;</w:t>
      </w:r>
    </w:p>
    <w:p>
      <w:pPr>
        <w:spacing w:after="0" w:line="175" w:lineRule="exact"/>
        <w:rPr>
          <w:rFonts w:ascii="Times New Roman" w:cs="Times New Roman" w:eastAsia="Times New Roman" w:hAnsi="Times New Roman"/>
          <w:sz w:val="18"/>
          <w:szCs w:val="18"/>
          <w:color w:val="auto"/>
        </w:rPr>
      </w:pPr>
    </w:p>
    <w:p>
      <w:pPr>
        <w:jc w:val="both"/>
        <w:ind w:right="20" w:firstLine="419"/>
        <w:spacing w:after="0" w:line="266" w:lineRule="auto"/>
        <w:tabs>
          <w:tab w:leader="none" w:pos="9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Company or any of the Company’s directors or officers, in their capacities as such, to comply with any applicable provision of the Sarbanes-Oxley Act of 2002, as amended and the rules and regulations promulgated in connection therewith, including Section 402 related to loans and Sections 302 and 906 related to certifications;</w:t>
      </w:r>
    </w:p>
    <w:p>
      <w:pPr>
        <w:spacing w:after="0" w:line="175" w:lineRule="exact"/>
        <w:rPr>
          <w:rFonts w:ascii="Times New Roman" w:cs="Times New Roman" w:eastAsia="Times New Roman" w:hAnsi="Times New Roman"/>
          <w:sz w:val="18"/>
          <w:szCs w:val="18"/>
          <w:color w:val="auto"/>
        </w:rPr>
      </w:pPr>
    </w:p>
    <w:p>
      <w:pPr>
        <w:ind w:right="40" w:firstLine="419"/>
        <w:spacing w:after="0" w:line="266" w:lineRule="auto"/>
        <w:tabs>
          <w:tab w:leader="none" w:pos="10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affiliates has taken or will take, directly or indirectly, any action designed to or that could reasonably be expected to cause or result in the stabilization or manipulation of the price of any security of the Company or any of its subsidiaries in connection with the offering of the Securities;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40"/>
          </w:cols>
          <w:pgMar w:left="880" w:top="270" w:right="479" w:bottom="1440" w:gutter="0" w:footer="0" w:header="0"/>
        </w:sectPr>
      </w:pPr>
    </w:p>
    <w:bookmarkStart w:id="16" w:name="page17"/>
    <w:bookmarkEnd w:id="16"/>
    <w:p>
      <w:pPr>
        <w:ind w:left="-419" w:firstLine="419"/>
        <w:spacing w:after="0" w:line="255" w:lineRule="auto"/>
        <w:tabs>
          <w:tab w:leader="none" w:pos="5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each of its subsidiaries have such permits, licenses, approvals, consents, franchises, certificates of need and other approvals or authorizations of governmental or regulatory authorities (“Permits”) as are necessary under applicable law to own their respective properties and conduct their respective businesses in the manner described in the Registration Statement, the Pricing Prospectus and the Prospectus, except for any of the foregoing that would not, individually or in the aggregate, reasonably be expected to have a Material Adverse Effect. Neither the Company nor any of its subsidiaries has received notice of any proceedings related to the revocation or modification of any such Permits that, individually or in the aggregate, if the subject of an unfavorable decision, ruling or finding, would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left="-419" w:right="320" w:firstLine="419"/>
        <w:spacing w:after="0" w:line="282" w:lineRule="auto"/>
        <w:tabs>
          <w:tab w:leader="none" w:pos="5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taken as a whole, are insured in all material respects against such losses and risks and in such amounts as are prudent and customary in the businesses in which they are engaged and as required by law;</w:t>
      </w:r>
    </w:p>
    <w:p>
      <w:pPr>
        <w:spacing w:after="0" w:line="161"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left="-419" w:right="240" w:firstLine="419"/>
        <w:spacing w:after="0" w:line="282" w:lineRule="auto"/>
        <w:tabs>
          <w:tab w:leader="none" w:pos="6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ceased to be admitted to the official list of ASX (nor has removal from the official list been threatened by ASX in writing);</w:t>
      </w:r>
    </w:p>
    <w:p>
      <w:pPr>
        <w:spacing w:after="0" w:line="161" w:lineRule="exact"/>
        <w:rPr>
          <w:rFonts w:ascii="Times New Roman" w:cs="Times New Roman" w:eastAsia="Times New Roman" w:hAnsi="Times New Roman"/>
          <w:sz w:val="18"/>
          <w:szCs w:val="18"/>
          <w:color w:val="auto"/>
        </w:rPr>
      </w:pPr>
    </w:p>
    <w:p>
      <w:pPr>
        <w:ind w:left="-419" w:right="100" w:firstLine="419"/>
        <w:spacing w:after="0" w:line="256" w:lineRule="auto"/>
        <w:tabs>
          <w:tab w:leader="none" w:pos="6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with its periodic and continuous disclosure obligations under the ASX Listing Rules (including, without limitation, ASX Listing Rule 3.1) or the Corporations Act 2001 (Commonwealth of Australia) as modified by ASIC Class Order 14/827 (Offers of CHESS Depositary Interests) (“Corporations Act”) and all announcements which have been lodged by the Company on the ASX did not contain an untrue statement of a material fact or omit to state a material fact necessary to make the statements therein not misleading, and except as disclosed in the Prospectus, the Company is not relying on any exemption from disclosure under the ASX continuous disclosure provisions;</w:t>
      </w:r>
    </w:p>
    <w:p>
      <w:pPr>
        <w:spacing w:after="0" w:line="187" w:lineRule="exact"/>
        <w:rPr>
          <w:rFonts w:ascii="Times New Roman" w:cs="Times New Roman" w:eastAsia="Times New Roman" w:hAnsi="Times New Roman"/>
          <w:sz w:val="18"/>
          <w:szCs w:val="18"/>
          <w:color w:val="auto"/>
        </w:rPr>
      </w:pPr>
    </w:p>
    <w:p>
      <w:pPr>
        <w:ind w:left="-419" w:right="180" w:firstLine="419"/>
        <w:spacing w:after="0" w:line="261" w:lineRule="auto"/>
        <w:tabs>
          <w:tab w:leader="none" w:pos="5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affiliates possess any information that a reasonable person would expect, if the information were generally available, to have a material effect on the price or value of the CHESS Depositary Interests over Stock (“CDIs”) or the Securities that has not been disclosed to ASX under ASX Listing Rule 3.1 or that would be required to be disclosed as “excluded information” under sections 708A(6), 708A(7) and 708A(8) of the Corporations Act;</w:t>
      </w:r>
    </w:p>
    <w:p>
      <w:pPr>
        <w:spacing w:after="0" w:line="18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(xl) The purpose of the transactions contemplated by this Agreement is as set out in the Prospectus;</w:t>
      </w:r>
    </w:p>
    <w:p>
      <w:pPr>
        <w:spacing w:after="0" w:line="158" w:lineRule="exact"/>
        <w:rPr>
          <w:sz w:val="20"/>
          <w:szCs w:val="20"/>
          <w:color w:val="auto"/>
        </w:rPr>
      </w:pPr>
    </w:p>
    <w:p>
      <w:pPr>
        <w:ind w:left="4501"/>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081"/>
          </w:cols>
          <w:pgMar w:left="1299" w:top="270" w:right="519" w:bottom="1440" w:gutter="0" w:footer="0" w:header="0"/>
        </w:sectPr>
      </w:pPr>
    </w:p>
    <w:bookmarkStart w:id="17" w:name="page18"/>
    <w:bookmarkEnd w:id="17"/>
    <w:p>
      <w:pPr>
        <w:ind w:right="32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(xli) The Company is not issuing the Securities with the purpose of the applicants for Securities selling or transferring them or granting, issuing or transferring interests in, or options or warrants over them;</w:t>
      </w:r>
    </w:p>
    <w:p>
      <w:pPr>
        <w:spacing w:after="0" w:line="162" w:lineRule="exact"/>
        <w:rPr>
          <w:sz w:val="20"/>
          <w:szCs w:val="20"/>
          <w:color w:val="auto"/>
        </w:rPr>
      </w:pPr>
    </w:p>
    <w:p>
      <w:pPr>
        <w:ind w:firstLine="423"/>
        <w:spacing w:after="0" w:line="282" w:lineRule="auto"/>
        <w:rPr>
          <w:sz w:val="20"/>
          <w:szCs w:val="20"/>
          <w:color w:val="auto"/>
        </w:rPr>
      </w:pPr>
      <w:r>
        <w:rPr>
          <w:rFonts w:ascii="Times New Roman" w:cs="Times New Roman" w:eastAsia="Times New Roman" w:hAnsi="Times New Roman"/>
          <w:sz w:val="18"/>
          <w:szCs w:val="18"/>
          <w:color w:val="auto"/>
        </w:rPr>
        <w:t>(xlii) No related party (as such term is defined in the Corporations Act) of the Company will subscribe for Securities, except as permitted by law or the ASX Listing Rules;</w:t>
      </w:r>
    </w:p>
    <w:p>
      <w:pPr>
        <w:spacing w:after="0" w:line="162" w:lineRule="exact"/>
        <w:rPr>
          <w:sz w:val="20"/>
          <w:szCs w:val="20"/>
          <w:color w:val="auto"/>
        </w:rPr>
      </w:pPr>
    </w:p>
    <w:p>
      <w:pPr>
        <w:ind w:right="120" w:firstLine="423"/>
        <w:spacing w:after="0" w:line="266" w:lineRule="auto"/>
        <w:rPr>
          <w:sz w:val="20"/>
          <w:szCs w:val="20"/>
          <w:color w:val="auto"/>
        </w:rPr>
      </w:pPr>
      <w:r>
        <w:rPr>
          <w:rFonts w:ascii="Times New Roman" w:cs="Times New Roman" w:eastAsia="Times New Roman" w:hAnsi="Times New Roman"/>
          <w:sz w:val="18"/>
          <w:szCs w:val="18"/>
          <w:color w:val="auto"/>
        </w:rPr>
        <w:t>(xliii) Other than obtaining a no-action letter from the Australian Securities and Investments Commission (“ASIC”) in connection with the Optional Shares which has been obtained prior to the date of this Agreement, shareholder approval, ASX and ASIC exemptions, waivers and approvals are not required for the offer or issue of the Securities or, if they are, they have been validly obtained;</w:t>
      </w:r>
    </w:p>
    <w:p>
      <w:pPr>
        <w:spacing w:after="0" w:line="176" w:lineRule="exact"/>
        <w:rPr>
          <w:sz w:val="20"/>
          <w:szCs w:val="20"/>
          <w:color w:val="auto"/>
        </w:rPr>
      </w:pPr>
    </w:p>
    <w:p>
      <w:pPr>
        <w:ind w:right="20" w:firstLine="423"/>
        <w:spacing w:after="0" w:line="253" w:lineRule="auto"/>
        <w:rPr>
          <w:sz w:val="20"/>
          <w:szCs w:val="20"/>
          <w:color w:val="auto"/>
        </w:rPr>
      </w:pPr>
      <w:r>
        <w:rPr>
          <w:rFonts w:ascii="Times New Roman" w:cs="Times New Roman" w:eastAsia="Times New Roman" w:hAnsi="Times New Roman"/>
          <w:sz w:val="18"/>
          <w:szCs w:val="18"/>
          <w:color w:val="auto"/>
        </w:rPr>
        <w:t xml:space="preserve">(xliv) The Company is aware that the Underwriters will be relying on Case 1 of section 708A of the Corporations Act and represents and warrants that: (i) ASIC has not made a determination in the previous 12 months under section 708A(2) of the Corporations Act; (ii) the CDIs of the Company have been quoted securities (as that term is defined in the Corporations Act) at all times in the previous 3 months; (iii) trading in the CDIs on ASX was not suspended for more than a total of 5 days during the previous 12 months; (iv) no exemption under sections 111AS or 111AT of the Corporations Act covered, or will cover, the Company, or any person as a director or auditor of the Company, at any time in the period referred to in sub-paragraph (iii); (v) no order under sections 340 or 341 of the Corporations Act covered, or will cover, the Company, or any person as a director or auditor of the Company, at any time in the period referred to in sub-paragraph (iii) (other than a “technical relief instrument” as defined under </w:t>
      </w:r>
      <w:r>
        <w:rPr>
          <w:rFonts w:ascii="Times New Roman" w:cs="Times New Roman" w:eastAsia="Times New Roman" w:hAnsi="Times New Roman"/>
          <w:sz w:val="18"/>
          <w:szCs w:val="18"/>
          <w:i w:val="1"/>
          <w:iCs w:val="1"/>
          <w:color w:val="auto"/>
        </w:rPr>
        <w:t>ASIC Corporations (Disregarding Technical Relief) Instrument 2016/73)</w:t>
      </w:r>
      <w:r>
        <w:rPr>
          <w:rFonts w:ascii="Times New Roman" w:cs="Times New Roman" w:eastAsia="Times New Roman" w:hAnsi="Times New Roman"/>
          <w:sz w:val="18"/>
          <w:szCs w:val="18"/>
          <w:color w:val="auto"/>
        </w:rPr>
        <w:t>); and (vi) the Company will ensure that all the requirements of section 708A of the Corporations Act (including section 708A(5)(e) but excluding sections 708A(11) and (12)) are fulfilled and will issue a Cleansing Notice (as defined below) in accordance with section 708A(6) of the Corporations Act and this Agreement so as to enable an offer for sale of CDIs without disclosure to investors within 12 months of the date of issue of the Securities;</w:t>
      </w:r>
    </w:p>
    <w:p>
      <w:pPr>
        <w:spacing w:after="0" w:line="192" w:lineRule="exact"/>
        <w:rPr>
          <w:sz w:val="20"/>
          <w:szCs w:val="20"/>
          <w:color w:val="auto"/>
        </w:rPr>
      </w:pPr>
    </w:p>
    <w:p>
      <w:pPr>
        <w:ind w:right="40" w:firstLine="423"/>
        <w:spacing w:after="0" w:line="261" w:lineRule="auto"/>
        <w:rPr>
          <w:sz w:val="20"/>
          <w:szCs w:val="20"/>
          <w:color w:val="auto"/>
        </w:rPr>
      </w:pPr>
      <w:r>
        <w:rPr>
          <w:rFonts w:ascii="Times New Roman" w:cs="Times New Roman" w:eastAsia="Times New Roman" w:hAnsi="Times New Roman"/>
          <w:sz w:val="18"/>
          <w:szCs w:val="18"/>
          <w:color w:val="auto"/>
        </w:rPr>
        <w:t>(xlv) Each offer for sale and each sale of Securities will not be an offer or sale to which sections 707(3) or 707(4) of the Corporations Act applies so as to require the offeror or seller to prepare and lodge with ASIC a prospectus or product disclosure statement or other document relating to the offer or sale of the Securities and the Securities will satisfy the criteria under the Corporations Act to permit any transfer or on-sale without restriction;</w:t>
      </w:r>
    </w:p>
    <w:p>
      <w:pPr>
        <w:spacing w:after="0" w:line="180" w:lineRule="exact"/>
        <w:rPr>
          <w:sz w:val="20"/>
          <w:szCs w:val="20"/>
          <w:color w:val="auto"/>
        </w:rPr>
      </w:pPr>
    </w:p>
    <w:p>
      <w:pPr>
        <w:jc w:val="both"/>
        <w:ind w:right="20" w:firstLine="423"/>
        <w:spacing w:after="0" w:line="266" w:lineRule="auto"/>
        <w:rPr>
          <w:sz w:val="20"/>
          <w:szCs w:val="20"/>
          <w:color w:val="auto"/>
        </w:rPr>
      </w:pPr>
      <w:r>
        <w:rPr>
          <w:rFonts w:ascii="Times New Roman" w:cs="Times New Roman" w:eastAsia="Times New Roman" w:hAnsi="Times New Roman"/>
          <w:sz w:val="18"/>
          <w:szCs w:val="18"/>
          <w:color w:val="auto"/>
        </w:rPr>
        <w:t>(xlvi) The Company is not, and has not been at any time during the 5-year period ending on the final Time of Delivery, a United States real property holding corporation for U.S. federal income tax purposes within the meaning of Section 897(c)(2) of the Internal Revenue Code of 1986, as amended (the “Code”); and</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20"/>
          </w:cols>
          <w:pgMar w:left="880" w:top="270" w:right="499" w:bottom="1440" w:gutter="0" w:footer="0" w:header="0"/>
        </w:sectPr>
      </w:pPr>
    </w:p>
    <w:bookmarkStart w:id="18" w:name="page19"/>
    <w:bookmarkEnd w:id="18"/>
    <w:p>
      <w:pPr>
        <w:ind w:left="420" w:right="160" w:firstLine="42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(xlvii) Except as would not reasonably be expected to have a Material Adverse Effect, (A) the Company and its subsidiaries have paid all federal, state, local and foreign taxes required to be paid (except for any such taxes that are currently being contested in good faith and with respect to which adequate reserves have been established in accordance with GAAP) and filed all tax returns required to be paid or filed through the date hereof, and (B) except as otherwise disclosed in each of the Registration Statement, the Pricing Disclosure Package and the Prospectus, there is no tax deficiency that has been, or could reasonably be expected to be, asserted against the Company or any of its subsidiaries or any of their respective properties or assets.</w:t>
      </w:r>
    </w:p>
    <w:p>
      <w:pPr>
        <w:spacing w:after="0" w:line="187" w:lineRule="exact"/>
        <w:rPr>
          <w:sz w:val="20"/>
          <w:szCs w:val="20"/>
          <w:color w:val="auto"/>
        </w:rPr>
      </w:pPr>
    </w:p>
    <w:p>
      <w:pPr>
        <w:ind w:left="-20" w:right="580" w:firstLine="436"/>
        <w:spacing w:after="0" w:line="282" w:lineRule="auto"/>
        <w:tabs>
          <w:tab w:leader="none" w:pos="6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Stockholders severally and not jointly represents and warrants to, and agrees with, each of the Underwriters and the Company that:</w:t>
      </w:r>
    </w:p>
    <w:p>
      <w:pPr>
        <w:spacing w:after="0" w:line="161" w:lineRule="exact"/>
        <w:rPr>
          <w:rFonts w:ascii="Times New Roman" w:cs="Times New Roman" w:eastAsia="Times New Roman" w:hAnsi="Times New Roman"/>
          <w:sz w:val="18"/>
          <w:szCs w:val="18"/>
          <w:color w:val="auto"/>
        </w:rPr>
      </w:pPr>
    </w:p>
    <w:p>
      <w:pPr>
        <w:ind w:left="420" w:firstLine="419"/>
        <w:spacing w:after="0" w:line="255" w:lineRule="auto"/>
        <w:tabs>
          <w:tab w:leader="none" w:pos="105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consents, approvals, authorizations and orders necessary for the execution and delivery by such Selling Stockholder of this Agreement and the Power of Attorney (as defined below) and the Custody Agreement (as defined below) referred to below, and for the sale and delivery of the Securities to be sold by such Selling Stockholder hereunder, have been obtained, except for the registration under the Act of the Securities and such consents, approvals, authorizations and orders as may be required under state or non-US securities or blue sky laws, the rules and regulations of FINRA or the approval for listing on the Exchange or such other approvals as have been or will be made or obtained on or prior to the First Time of Delivery; and such Selling Stockholder has full right, power and authority to enter into this Agreement, the Power-of-Attorney and the Custody Agreement and to sell, assign, transfer and deliver the Securities to be sold by such Selling Stockholder hereunder;</w:t>
      </w:r>
    </w:p>
    <w:p>
      <w:pPr>
        <w:spacing w:after="0" w:line="188" w:lineRule="exact"/>
        <w:rPr>
          <w:rFonts w:ascii="Times New Roman" w:cs="Times New Roman" w:eastAsia="Times New Roman" w:hAnsi="Times New Roman"/>
          <w:sz w:val="18"/>
          <w:szCs w:val="18"/>
          <w:color w:val="auto"/>
        </w:rPr>
      </w:pPr>
    </w:p>
    <w:p>
      <w:pPr>
        <w:ind w:left="420" w:right="20" w:firstLine="419"/>
        <w:spacing w:after="0" w:line="269" w:lineRule="auto"/>
        <w:tabs>
          <w:tab w:leader="none" w:pos="1108"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of the Securities to be sold by such Selling Stockholder hereunder and the compliance by such Selling Stockholder with this Agreement, the Power of Attorney and the Custody Agreement and the consummation of the transactions herein and therein contemplated will not conflict with or result in a material breach or material violation of any of the terms or provisions of, or constitute a default under, any indenture, mortgage, deed of trust, loan agreement, lease or other agreement or instrument to which such Selling Stockholder is a party or by which such Selling Stockholder is bound or to which any of the property or assets of such Selling Stockholder is subject, nor will such action result in any violation of the provisions of the certificate of incorporation or bylaws of such Selling Stockholder if such Selling Stockholder is a corporation, the Partnership Agreement of such Selling Stockholder if such Selling Stockholder is a partnership (or similar applicable organizational document) or any statute or any judgment, order, rule or regulation of any court or governmental agency or body having jurisdiction over such Selling Stockholder or any of its subsidiaries or any property or assets of such Selling Stockholder; and no consent, approval, authorization, order, registration or qualification of or with any such court or governmental body or agency is required for the performance by such Selling Stockholder of its obligations under this Agreement, the Power of Attorney and the Custody Agreement and the consummation by such Selling Stockholder of</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60" w:top="270" w:right="459" w:bottom="1440" w:gutter="0" w:footer="0" w:header="0"/>
        </w:sectPr>
      </w:pPr>
    </w:p>
    <w:bookmarkStart w:id="19" w:name="page20"/>
    <w:bookmarkEnd w:id="19"/>
    <w:p>
      <w:pPr>
        <w:ind w:left="540"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transactions contemplated by this Agreement, the Power of Attorney and the Custody Agreement in connection with the Securities to be sold by such Selling Stockholder hereunder, except the registration under the Act of the Securities and such consents, approvals, authorizations, orders, registrations or qualifications as may be required under state or non-US securities or Blue Sky laws, the rules and regulations of FINRA or the approval for listing on the Exchange or such other approvals as have been or will be made or obtained on or prior to the First Time of Delivery in connection with the purchase and distribution of the Securities by the Underwriters;</w:t>
      </w:r>
    </w:p>
    <w:p>
      <w:pPr>
        <w:spacing w:after="0" w:line="183" w:lineRule="exact"/>
        <w:rPr>
          <w:sz w:val="20"/>
          <w:szCs w:val="20"/>
          <w:color w:val="auto"/>
        </w:rPr>
      </w:pPr>
    </w:p>
    <w:p>
      <w:pPr>
        <w:ind w:firstLine="419"/>
        <w:spacing w:after="0" w:line="258" w:lineRule="auto"/>
        <w:tabs>
          <w:tab w:leader="none" w:pos="7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Selling Stockholder has, and immediately prior to each Time of Delivery (as defined in Section 4 hereof) such Selling Stockholder will have, good and valid title to, or a valid “security entitlement” within the meaning of Section 8-501 of the New York Uniform Commercial Code in respect of, the Securities to be sold by such Selling Stockholder hereunder at such Time of Delivery, free and clear of all liens, encumbrances, equities or claims; and, upon delivery of such Securities and payment therefor pursuant hereto, good and valid title to such Securities, free and clear of all liens, encumbrances, equities or claims, will pass to the several Underwriters;</w:t>
      </w:r>
    </w:p>
    <w:p>
      <w:pPr>
        <w:spacing w:after="0" w:line="183" w:lineRule="exact"/>
        <w:rPr>
          <w:rFonts w:ascii="Times New Roman" w:cs="Times New Roman" w:eastAsia="Times New Roman" w:hAnsi="Times New Roman"/>
          <w:sz w:val="18"/>
          <w:szCs w:val="18"/>
          <w:color w:val="auto"/>
        </w:rPr>
      </w:pPr>
    </w:p>
    <w:p>
      <w:pPr>
        <w:ind w:right="40" w:firstLine="419"/>
        <w:spacing w:after="0" w:line="282" w:lineRule="auto"/>
        <w:tabs>
          <w:tab w:leader="none" w:pos="7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date of the Pricing Prospectus, such Selling Stockholder has executed and delivered to the Underwriters an agreement substantially in the form of Annex I hereto;</w:t>
      </w:r>
    </w:p>
    <w:p>
      <w:pPr>
        <w:spacing w:after="0" w:line="161"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Selling Stockholder has not taken and will not take, directly or indirectly, any action that is designed to or that has constituted or might reasonably be expected to cause or result in stabilization or manipulation of the price of any security of the Company to facilitate the sale or resale of the Securities;</w:t>
      </w:r>
    </w:p>
    <w:p>
      <w:pPr>
        <w:spacing w:after="0" w:line="175" w:lineRule="exact"/>
        <w:rPr>
          <w:rFonts w:ascii="Times New Roman" w:cs="Times New Roman" w:eastAsia="Times New Roman" w:hAnsi="Times New Roman"/>
          <w:sz w:val="18"/>
          <w:szCs w:val="18"/>
          <w:color w:val="auto"/>
        </w:rPr>
      </w:pPr>
    </w:p>
    <w:p>
      <w:pPr>
        <w:ind w:right="60" w:firstLine="419"/>
        <w:spacing w:after="0" w:line="253" w:lineRule="auto"/>
        <w:tabs>
          <w:tab w:leader="none" w:pos="7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statements or omissions made in the Registration Statement, any Preliminary Prospectus, the Prospectus or any amendment or supplement thereto are made in reliance upon and in conformity with written information furnished to the Company by such Selling Stockholder expressly for use therein, such Registration Statement and Preliminary Prospectus did, and the Prospectus and any further amendments or supplements to the Registration Statement and the Prospectus will, when they become effective or are filed with the Commission, as the case may be, not contain any untrue statement of a material fact or omit to state any material fact required to be stated therein or necessary to make the statements therein not misleading, provided that this representation and warranty shall (A) not apply to any statements or omissions made in reliance upon and in conformity with the Underwriter Information and (B) be limited solely to statements or omissions made in reliance upon and in conformity with information relating to such Selling Stockholder furnished to the Company in writing by such Selling Stockholder expressly for use in the Registration Statement, the Pricing Prospectus, the Prospectus or any amendments or supplements thereto, it being understood and agreed that the only information furnished by such Selling Stockholder consists</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40"/>
          </w:cols>
          <w:pgMar w:left="880" w:top="270" w:right="479" w:bottom="1440" w:gutter="0" w:footer="0" w:header="0"/>
        </w:sectPr>
      </w:pPr>
    </w:p>
    <w:bookmarkStart w:id="20" w:name="page21"/>
    <w:bookmarkEnd w:id="20"/>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name of such Selling Stockholder, the number of offered shares and the address and any other information of such Selling Stockholder which appear in the Registration Statement, the Pricing Prospectus or any Prospectus in the table (and corresponding footnotes) under the caption “Principal and Selling Stockholders” (with respect to each Selling Stockholder, the “Selling Stockholder Information”);</w:t>
      </w:r>
    </w:p>
    <w:p>
      <w:pPr>
        <w:spacing w:after="0" w:line="176" w:lineRule="exact"/>
        <w:rPr>
          <w:sz w:val="20"/>
          <w:szCs w:val="20"/>
          <w:color w:val="auto"/>
        </w:rPr>
      </w:pPr>
    </w:p>
    <w:p>
      <w:pPr>
        <w:ind w:firstLine="419"/>
        <w:spacing w:after="0" w:line="261" w:lineRule="auto"/>
        <w:tabs>
          <w:tab w:leader="none" w:pos="7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document the Underwriters’ compliance with the reporting and withholding provisions of the Tax Equity and Fiscal Responsibility Act of 1982 with respect to the transactions herein contemplated, such Selling Stockholder will deliver to you prior to or at the First Time of Delivery a properly completed and executed United States Internal Revenue Service Form W-9 or Form W-8, together with any required attachments (or other applicable form or statement specified by Treasury Department regulations in lieu thereof);</w:t>
      </w:r>
    </w:p>
    <w:p>
      <w:pPr>
        <w:spacing w:after="0" w:line="179" w:lineRule="exact"/>
        <w:rPr>
          <w:rFonts w:ascii="Times New Roman" w:cs="Times New Roman" w:eastAsia="Times New Roman" w:hAnsi="Times New Roman"/>
          <w:sz w:val="18"/>
          <w:szCs w:val="18"/>
          <w:color w:val="auto"/>
        </w:rPr>
      </w:pPr>
    </w:p>
    <w:p>
      <w:pPr>
        <w:ind w:right="260" w:firstLine="419"/>
        <w:spacing w:after="0" w:line="282" w:lineRule="auto"/>
        <w:tabs>
          <w:tab w:leader="none" w:pos="8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Selling Stockholder is not a United States person, there is no transfer, stamp or similar taxes or duties imposed on the sale of the Securities contemplated by this Agreement by the jurisdiction in which such Selling Stockholder is organized or tax-resident;</w:t>
      </w:r>
    </w:p>
    <w:p>
      <w:pPr>
        <w:spacing w:after="0" w:line="161" w:lineRule="exact"/>
        <w:rPr>
          <w:rFonts w:ascii="Times New Roman" w:cs="Times New Roman" w:eastAsia="Times New Roman" w:hAnsi="Times New Roman"/>
          <w:sz w:val="18"/>
          <w:szCs w:val="18"/>
          <w:color w:val="auto"/>
        </w:rPr>
      </w:pPr>
    </w:p>
    <w:p>
      <w:pPr>
        <w:ind w:right="180" w:firstLine="419"/>
        <w:spacing w:after="0" w:line="254" w:lineRule="auto"/>
        <w:tabs>
          <w:tab w:leader="none" w:pos="7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in negotiable form or book-entry securities entitlements representing all of the Securities to be sold by such Selling Stockholder hereunder have been placed in custody under a Custody Agreement, in the form heretofore furnished to you (the “Custody Agreement”), duly executed and delivered by such Selling Stockholder to Computershare Inc., as custodian (the “Custodian”), and such Selling Stockholder has duly executed and delivered a Power of Attorney, in the form heretofore furnished to you (the “Power of Attorney”), appointing the persons indicated in Schedule II hereto, and each of them, as such Selling Stockholder’s attorneys-in-fact (the “Attorneys-in-Fact”) with authority to execute and deliver this Agreement on behalf of such Selling Stockholder, to determine the purchase price to be paid by the Underwriters to the Selling Stockholders as provided in Section 2 hereof, to authorize the delivery of the Securities to be sold by such Selling Stockholder hereunder and otherwise to act on behalf of such Selling Stockholder in connection with the transactions contemplated by this Agreement and the Custody Agreement;</w:t>
      </w:r>
    </w:p>
    <w:p>
      <w:pPr>
        <w:spacing w:after="0" w:line="188" w:lineRule="exact"/>
        <w:rPr>
          <w:rFonts w:ascii="Times New Roman" w:cs="Times New Roman" w:eastAsia="Times New Roman" w:hAnsi="Times New Roman"/>
          <w:sz w:val="18"/>
          <w:szCs w:val="18"/>
          <w:color w:val="auto"/>
        </w:rPr>
      </w:pPr>
    </w:p>
    <w:p>
      <w:pPr>
        <w:ind w:right="60" w:firstLine="419"/>
        <w:spacing w:after="0" w:line="255" w:lineRule="auto"/>
        <w:tabs>
          <w:tab w:leader="none" w:pos="6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held in custody for such Selling Stockholder under the Custody Agreement are subject to the interests of the Underwriters hereunder; the arrangements made by such Selling Stockholder for such custody, and the appointment by such Selling Stockholder of the Attorneys-in-Fact by the Power of Attorney, are to that extent irrevocable; the obligations of the Selling Stockholders hereunder shall not be terminated by operation of law, whether by the death or incapacity of any individual Selling Stockholder or, in the case of an estate or trust, by the death or incapacity of any executor or trustee or the termination of such estate or trust, or in the case of a partnership or corporation, by the dissolution of such partnership, limited liability company or corporation, or by the occurrence of any other event; if any individual Selling Stockholder or any such executor or trustee should die or become incapacitated, or if any such estate or trust should</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80"/>
          </w:cols>
          <w:pgMar w:left="880" w:top="270" w:right="439" w:bottom="1440" w:gutter="0" w:footer="0" w:header="0"/>
        </w:sectPr>
      </w:pPr>
    </w:p>
    <w:bookmarkStart w:id="21" w:name="page22"/>
    <w:bookmarkEnd w:id="21"/>
    <w:p>
      <w:pPr>
        <w:ind w:left="440"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terminated, or if any such partnership, limited liability company or corporation should be dissolved, or if any other such event should occur, before the delivery of the Securities to be sold by such Selling Stockholder hereunder, certificates representing the Securities to be sold by such Selling Stockholder hereunder shall be delivered by or on behalf of the Selling Stockholders in accordance with the terms and conditions of this Agreement and of the Custody Agreements; and actions taken by the Attorneys-in-Fact pursuant to the Powers of Attorney shall be as valid as if such death, incapacity, termination, dissolution or other event had not occurred, regardless of whether or not the Custodian, the Attorneys-in-Fact, or any of them, shall have received notice of such death, incapacity, termination, dissolution or other event;</w:t>
      </w:r>
    </w:p>
    <w:p>
      <w:pPr>
        <w:spacing w:after="0" w:line="187" w:lineRule="exact"/>
        <w:rPr>
          <w:sz w:val="20"/>
          <w:szCs w:val="20"/>
          <w:color w:val="auto"/>
        </w:rPr>
      </w:pPr>
    </w:p>
    <w:p>
      <w:pPr>
        <w:ind w:left="440" w:firstLine="419"/>
        <w:spacing w:after="0" w:line="255" w:lineRule="auto"/>
        <w:tabs>
          <w:tab w:leader="none" w:pos="11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Selling Stockholder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or in any country or territory, that, at the time of such funding or facilitation, is the subject or the target of Sanctions prohibiting such funding or facilitation, or in any other manner that will result in a violation by any person (including any person participating in the transaction, whether as underwriter, advisor, investor or otherwise) of Sanctions, or (ii) in furtherance of an offer, payment, promise to pay, or authorization of the payment or giving of money, or anything else of value, to any person in violation of any Money Laundering Laws or any Anti-Corruption Laws; and</w:t>
      </w:r>
    </w:p>
    <w:p>
      <w:pPr>
        <w:spacing w:after="0" w:line="188"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21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Selling Stockholder is not prompted by any material non-public information concerning the Company or any of its subsidiaries that is not disclosed in the Pricing Prospectus to sell its Securities pursuant to this Agreement.</w:t>
      </w:r>
    </w:p>
    <w:p>
      <w:pPr>
        <w:spacing w:after="0" w:line="161" w:lineRule="exact"/>
        <w:rPr>
          <w:rFonts w:ascii="Times New Roman" w:cs="Times New Roman" w:eastAsia="Times New Roman" w:hAnsi="Times New Roman"/>
          <w:sz w:val="18"/>
          <w:szCs w:val="18"/>
          <w:color w:val="auto"/>
        </w:rPr>
      </w:pPr>
    </w:p>
    <w:p>
      <w:pPr>
        <w:ind w:right="80" w:firstLine="436"/>
        <w:spacing w:after="0" w:line="253"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herein set forth, (a) the Company and each of the Selling Stockholders agree, severally and not jointly, to sell to each of the Underwriters, and each of the Underwriters agrees, severally and not jointly, to purchase from the Company and the Selling Stockholders, at a purchase price per share of $25.11, the number of Firm Shares (to be adjusted by you so as to eliminate fractional shares) determined by multiplying the aggregate number of Firm Shares to be sold by the Company and each of the Selling Stockholders as set forth opposite their respective names in Schedule II hereto by a fraction, the numerator of which is the aggregate number of Firm Shares to be purchased by such Underwriter as set forth opposite the name of such Underwriter in Schedule I hereto and the denominator of which is the aggregate number of Firm Shares to be purchased by all of the Underwriters from the Company and all of the Selling Stockholders hereunder and (b) in the event and to the extent that the Underwriters shall exercise the election to purchase Optional Shares as provided below, the Selling Stockholders, as and to the extent indicated in Schedule II hereto agree, severally and not jointly, agree to sell to each of the Underwriters, and each of the Underwriters agrees, severally and not jointly, to purchase from the Selling Stockholders, at the purchase price per share set forth in clause (a) of this Section 2 (provided that the purchase price per Optional Share shall be reduced by an amount per share equal to 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22" w:name="page23"/>
    <w:bookmarkEnd w:id="22"/>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83"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The Selling Stockholders hereby grant to the Underwriters the right to purchase at their election up to 862,500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setting forth the aggregate number of Optional Shares to be purchased and the date on which such Optional Shares are to be delivered, as determined by you but in no event earlier than the First Time of Delivery (as defined in Section 4 hereof) or, unless you and the Company otherwise agree in writing, earlier than two or later than ten business days after the date of such notice.</w:t>
      </w:r>
    </w:p>
    <w:p>
      <w:pPr>
        <w:spacing w:after="0" w:line="189" w:lineRule="exact"/>
        <w:rPr>
          <w:sz w:val="20"/>
          <w:szCs w:val="20"/>
          <w:color w:val="auto"/>
        </w:rPr>
      </w:pPr>
    </w:p>
    <w:p>
      <w:pPr>
        <w:ind w:right="200" w:firstLine="436"/>
        <w:spacing w:after="0" w:line="282"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authorization by you of the release of the Securities, the several Underwriters propose to offer the Securities for sale upon the terms and conditions set forth in the Pricing Disclosure Package and the Prospectus.</w:t>
      </w:r>
    </w:p>
    <w:p>
      <w:pPr>
        <w:spacing w:after="0" w:line="161" w:lineRule="exact"/>
        <w:rPr>
          <w:rFonts w:ascii="Times New Roman" w:cs="Times New Roman" w:eastAsia="Times New Roman" w:hAnsi="Times New Roman"/>
          <w:sz w:val="18"/>
          <w:szCs w:val="18"/>
          <w:color w:val="auto"/>
        </w:rPr>
      </w:pPr>
    </w:p>
    <w:p>
      <w:pPr>
        <w:ind w:firstLine="436"/>
        <w:spacing w:after="0" w:line="252"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Securities to be purchased by each Underwriter hereunder, in definitive or book-entry form, and in such authorized denominations and registered in such names as the Representatives may request upon at least forty-eight hours’ prior notice to the Company and the Selling Stockholders shall be delivered by or on behalf of the Company and the Selling Stockholders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and the Custodian to the Representatives at least forty-eight hours in advance. The Company and the Selling Stockholders will cause the certificates, if any, representing the Securities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Securities, 9:30 a.m., New York City time, on June 7, 2024 or such other time and date as the Representatives and the Company may agree upon in writing, and, with respect to the Optional Securities, 9:30 a.m., New York City time, on the date specified by the Representatives in the written notice given by the Representatives of the Underwriters’ election to purchase such Optional Securities, or such other time and date as the Representatives and the Company may agree upon in writing. Such time and date for delivery of the Firm Securities is herein called the “First Time of Delivery”, such time and date for delivery of the Optional Securities, if not the First Time of Delivery, is herein called the “Second Time of Delivery”, and each such time and date for delivery is herein called a “Time of Delivery.”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3" w:name="page24"/>
    <w:bookmarkEnd w:id="23"/>
    <w:p>
      <w:pPr>
        <w:ind w:left="-20" w:firstLine="436"/>
        <w:spacing w:after="0" w:line="254" w:lineRule="auto"/>
        <w:tabs>
          <w:tab w:leader="none" w:pos="6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documents to be delivered at each Time of Delivery by or on behalf of the parties hereto pursuant to Section 8 hereof, including the cross-receipt for the Securities and any additional documents requested by the Underwriters pursuant to Section 8(o) hereof, will be delivered at the offices of Latham &amp; Watkins LLP, 1271 Avenue of the Americas, New York, New York 10020 (the “Closing Location”), and the Securities will be delivered at the Designated Office, all at such Time of Delivery. A meeting will be held at the Closing Location at 5:00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1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5. The Company agrees with each of the Underwriters:</w:t>
      </w:r>
    </w:p>
    <w:p>
      <w:pPr>
        <w:spacing w:after="0" w:line="225" w:lineRule="exact"/>
        <w:rPr>
          <w:sz w:val="20"/>
          <w:szCs w:val="20"/>
          <w:color w:val="auto"/>
        </w:rPr>
      </w:pPr>
    </w:p>
    <w:p>
      <w:pPr>
        <w:ind w:left="-20" w:right="40" w:firstLine="436"/>
        <w:spacing w:after="0" w:line="252" w:lineRule="auto"/>
        <w:tabs>
          <w:tab w:leader="none" w:pos="6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Prospectus in a form approved by you and to file such Prospectus pursuant to Rule 424(b) under the Act not later than the Commission’s close of business on the first business day following the execution and delivery of this Agreement; to make no further amendment or any supplement to the Registration Statement, the Basic Prospectus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other material required to be filed by the Company with the Commission pursuant to Rule 433(d) under the Act;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Securities; to advise you, promptly after it receives notice thereof, of the issuance by the Commission of any stop order or of any order preventing or suspending the use of any Preliminary Prospectus or other prospectus in respect of the Securities, of any notice of objection of the Commission to the use of the Registration Statement or any post-effective amendment thereto pursuant to Rule 401(g)(2) under the Act, of the suspension of the qualification of the Securities for offering or sale in any jurisdiction, of the initiation or threatening of any proceeding against the Company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 and in the event of any such issuance of a notice of objection, promptly to take such steps including, without limitation, amending the Registration Statement or filing a new registration statement, at its own expense, as may be necessary to permit offers and sales of the Securities by the Underwriters (references herein to the Registration Statement shall include any such amendment or new registration statement);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60" w:top="270" w:right="479" w:bottom="1440" w:gutter="0" w:footer="0" w:header="0"/>
        </w:sectPr>
      </w:pPr>
    </w:p>
    <w:bookmarkStart w:id="24" w:name="page25"/>
    <w:bookmarkEnd w:id="24"/>
    <w:p>
      <w:pPr>
        <w:ind w:left="-20" w:firstLine="436"/>
        <w:spacing w:after="0" w:line="266" w:lineRule="auto"/>
        <w:tabs>
          <w:tab w:leader="none" w:pos="6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required by Rule 430B(h) under the Act, to prepare a form of prospectus in a form approved by you and to file such form of prospectus pursuant to Rule 424(b) under the Act not later than may be required by Rule 424(b) under the Act; and to make no further amendment or supplement to such form of prospectus which shall be disapproved by you promptly after reasonable notice thereof;</w:t>
      </w:r>
    </w:p>
    <w:p>
      <w:pPr>
        <w:spacing w:after="0" w:line="175" w:lineRule="exact"/>
        <w:rPr>
          <w:rFonts w:ascii="Times New Roman" w:cs="Times New Roman" w:eastAsia="Times New Roman" w:hAnsi="Times New Roman"/>
          <w:sz w:val="18"/>
          <w:szCs w:val="18"/>
          <w:color w:val="auto"/>
        </w:rPr>
      </w:pPr>
    </w:p>
    <w:p>
      <w:pPr>
        <w:ind w:left="-20" w:right="100" w:firstLine="436"/>
        <w:spacing w:after="0" w:line="254" w:lineRule="auto"/>
        <w:tabs>
          <w:tab w:leader="none" w:pos="6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the third anniversary (the “Renewal Deadline”) of the initial effective date of the Registration Statement, any of the Securities remain unsold by the Underwriters, the Company will file, if it has not already done so and is eligible to do so, a new automatic shelf registration statement relating to the Securities, in a form satisfactory to you. If at the Renewal Deadline the Company is no longer eligible to file an automatic shelf registration statement, the Company will, if it has not already done so, file a new shelf registration statement relating to the Securities, in a form satisfactory to you and will use its best efforts to cause such registration statement to be declared effective within 180 days after the Renewal Deadline. The Company will take all other action necessary or appropriate to permit the public offering and sale of the Securities to continue as contemplated in the expired registration statement relating to the Securities. References herein to the Registration Statement shall include such new automatic shelf registration statement or such new shelf registration statement, as the case may be;</w:t>
      </w:r>
    </w:p>
    <w:p>
      <w:pPr>
        <w:spacing w:after="0" w:line="191" w:lineRule="exact"/>
        <w:rPr>
          <w:rFonts w:ascii="Times New Roman" w:cs="Times New Roman" w:eastAsia="Times New Roman" w:hAnsi="Times New Roman"/>
          <w:sz w:val="18"/>
          <w:szCs w:val="18"/>
          <w:color w:val="auto"/>
        </w:rPr>
      </w:pPr>
    </w:p>
    <w:p>
      <w:pPr>
        <w:ind w:left="-20" w:right="160" w:firstLine="436"/>
        <w:spacing w:after="0" w:line="256" w:lineRule="auto"/>
        <w:tabs>
          <w:tab w:leader="none" w:pos="6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from time to time to take such action as you may reasonably request to qualify the Securities for offering and sale under the securities laws of such jurisdictions as you may reasonably request and to comply with such laws so as to permit the continuance of sales and dealings therein in such jurisdictions for as long as may be necessary to complete the distribution of the Securities, provided that in connection therewith the Company shall not be required to qualify as a foreign corporation (where not otherwise required), subject itself to taxation for doing business in any jurisdiction in which it is not otherwise subject to taxation or to file a general consent to service of process in any jurisdiction (where not otherwise required);</w:t>
      </w:r>
    </w:p>
    <w:p>
      <w:pPr>
        <w:spacing w:after="0" w:line="187" w:lineRule="exact"/>
        <w:rPr>
          <w:rFonts w:ascii="Times New Roman" w:cs="Times New Roman" w:eastAsia="Times New Roman" w:hAnsi="Times New Roman"/>
          <w:sz w:val="18"/>
          <w:szCs w:val="18"/>
          <w:color w:val="auto"/>
        </w:rPr>
      </w:pPr>
    </w:p>
    <w:p>
      <w:pPr>
        <w:ind w:left="-20" w:firstLine="436"/>
        <w:spacing w:after="0" w:line="254" w:lineRule="auto"/>
        <w:tabs>
          <w:tab w:leader="none" w:pos="6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10:00 a.m., New York City time, on the New York Business Day next succeeding the date of this Agreement (or such later time as may be agreed by the Company and the Representatives)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Securities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or to file under the Exchange Act any document incorporated by reference in the Prospectus in order to comply with the Act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60" w:top="270" w:right="479" w:bottom="1440" w:gutter="0" w:footer="0" w:header="0"/>
        </w:sectPr>
      </w:pPr>
    </w:p>
    <w:bookmarkStart w:id="25" w:name="page26"/>
    <w:bookmarkEnd w:id="25"/>
    <w:p>
      <w:pPr>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Exchange Act, to notify you and upon your request to file such document and to prepare and furnish without charge to each Underwriter and to any dealer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Securities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173" w:lineRule="exact"/>
        <w:rPr>
          <w:sz w:val="20"/>
          <w:szCs w:val="20"/>
          <w:color w:val="auto"/>
        </w:rPr>
      </w:pPr>
    </w:p>
    <w:p>
      <w:pPr>
        <w:jc w:val="both"/>
        <w:ind w:right="120" w:firstLine="436"/>
        <w:spacing w:after="0" w:line="281" w:lineRule="auto"/>
        <w:tabs>
          <w:tab w:leader="none" w:pos="66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64" w:lineRule="exact"/>
        <w:rPr>
          <w:rFonts w:ascii="Times New Roman" w:cs="Times New Roman" w:eastAsia="Times New Roman" w:hAnsi="Times New Roman"/>
          <w:sz w:val="17"/>
          <w:szCs w:val="17"/>
          <w:color w:val="auto"/>
        </w:rPr>
      </w:pPr>
    </w:p>
    <w:p>
      <w:pPr>
        <w:ind w:firstLine="436"/>
        <w:spacing w:after="0" w:line="252"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During the period beginning from the date hereof and continuing to and including the date 90 days after the date of the Prospectus (the “Lock-Up Period”), not to (i) offer, sell, contract to sell, pledge, grant any option to purchase, make any short sale or otherwise transfer or dispose of, directly or indirectly, or file with the Commission a registration statement under the Act relating to, any securities of the Company that are substantially similar to the Securities,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(other than the Securities to be sold hereunder or pursuant to employee stock option plans existing on, or upon the conversion or exchange of convertible or exchangeable securities outstanding as of, the date of this Agreement), without the prior written consent of Goldman Sachs &amp; Co. LLC; provided, however, that the restrictions in the foregoing sentence shall not apply to (A) the Securities to be sold hereunder; (B) the issuance by the Company of shares of Stock upon the exercise of an option or warrant, the vesting or settlement of restricted stock or restricted stock units or the conversion, exchange or reclassification of convertible preferred stock, common stock or exchangeable shares outstanding as of the date of this Agreement and described in the Pricing Prospectus and the Prospectus or pursuant to the Company’s equity plans described in the Pricing Prospectus or the Prospectus (or the documents incorporated by referenced therein) (including net exercise, conversion or settlement and in respect of tax withholding payments due upon the exercise of options or the vesting of equity-based awards); (C) the grant of stock options, restricted stock units or other equity awards pursuant to the Company’s equity plans described in the Pricing Prospectus and the Prospectus (or the documents incorporated by referenced therein); (D) the issuance, offer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26" w:name="page27"/>
    <w:bookmarkEnd w:id="26"/>
    <w:p>
      <w:pPr>
        <w:ind w:left="4" w:right="2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entry into an agreement providing for the issuance of shares of Stock or any security convertible into or exercisable for shares of Stock in connection with (x) an acquisition by the Company of the securities, business, technology, property or other assets of another person or entity or pursuant to an employee benefit plan assumed by the Company in connection with such acquisition, and the issuance of any such securities pursuant to such agreement; or (y) joint ventures, commercial relationships, partnership or other strategic transactions, and the issuance of any such securities pursuant to any such agreement; provided, further, that, (i) in the case of clause (D), the aggregate number of shares of Stock that the Company may sell or issue or agree to sell or issue shall not exceed 10% of the total number of shares of Stock outstanding immediately following the completion of the offering contemplated by this Agreement; (ii) in case of clauses (B), (C) and (D), the Company shall (x) cause each recipient of such securities to execute and deliver to the Representatives, on or prior to the issuance of such securities, a lock-up letter substantially in the form of Annex II hereto (the “Lock-Up Agreement”), unless such recipient is already bound by a Lock-Up Agreement or a market standoff provision that is enforceable by the Company pursuant to which such holders cannot or have agreed not to sell, contract to sell or otherwise transfer or dispose of such holder’s securities during the Lock-Up Period without the consent of the Company, which market standoff provision the Company agrees it will not waive or amend without the prior written consent of Goldman Sachs &amp; Co. LLC, and (y) enter stop transfer instructions with the Company’s transfer agent and registrar on such securities, which the Company agrees it will not waive or amend without the prior written consent of Goldman Sachs &amp; Co. LLC, except that this clause</w:t>
      </w:r>
    </w:p>
    <w:p>
      <w:pPr>
        <w:spacing w:after="0" w:line="10" w:lineRule="exact"/>
        <w:rPr>
          <w:sz w:val="20"/>
          <w:szCs w:val="20"/>
          <w:color w:val="auto"/>
        </w:rPr>
      </w:pPr>
    </w:p>
    <w:p>
      <w:pPr>
        <w:ind w:left="4" w:hanging="4"/>
        <w:spacing w:after="0" w:line="260" w:lineRule="auto"/>
        <w:tabs>
          <w:tab w:leader="none" w:pos="2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prevent the Company from effecting such a waiver or amendment to permit a transfer of securities that would be permissible with respect to such holder under the terms of the Lock-Up Agreement;</w:t>
      </w:r>
    </w:p>
    <w:p>
      <w:pPr>
        <w:spacing w:after="0" w:line="181" w:lineRule="exact"/>
        <w:rPr>
          <w:rFonts w:ascii="Times New Roman" w:cs="Times New Roman" w:eastAsia="Times New Roman" w:hAnsi="Times New Roman"/>
          <w:sz w:val="18"/>
          <w:szCs w:val="18"/>
          <w:color w:val="auto"/>
        </w:rPr>
      </w:pPr>
    </w:p>
    <w:p>
      <w:pPr>
        <w:ind w:left="444" w:right="280" w:firstLine="419"/>
        <w:spacing w:after="0" w:line="258" w:lineRule="auto"/>
        <w:tabs>
          <w:tab w:leader="none" w:pos="1132"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Goldman Sachs &amp; Co. LLC, in its sole discretion, agrees to release or waive the restrictions in lock-up letters delivered pursuant to Section 1(b)(iv) or Section 8(n) hereof, in each case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Annex II hereto through a major news service at least two business days before the effective date of the release or waiver;</w:t>
      </w:r>
    </w:p>
    <w:p>
      <w:pPr>
        <w:spacing w:after="0" w:line="183" w:lineRule="exact"/>
        <w:rPr>
          <w:rFonts w:ascii="Times New Roman" w:cs="Times New Roman" w:eastAsia="Times New Roman" w:hAnsi="Times New Roman"/>
          <w:sz w:val="18"/>
          <w:szCs w:val="18"/>
          <w:color w:val="auto"/>
        </w:rPr>
      </w:pPr>
    </w:p>
    <w:p>
      <w:pPr>
        <w:ind w:left="4" w:right="140" w:firstLine="436"/>
        <w:spacing w:after="0" w:line="282" w:lineRule="auto"/>
        <w:tabs>
          <w:tab w:leader="none" w:pos="6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required Commission filing fees relating to the Securities within the time required by Rule 456(b)(1) under the Act without regard to the proviso therein and otherwise in accordance with Rules 456(b) and 457(r) under the Act;</w:t>
      </w:r>
    </w:p>
    <w:p>
      <w:pPr>
        <w:spacing w:after="0" w:line="161" w:lineRule="exact"/>
        <w:rPr>
          <w:rFonts w:ascii="Times New Roman" w:cs="Times New Roman" w:eastAsia="Times New Roman" w:hAnsi="Times New Roman"/>
          <w:sz w:val="18"/>
          <w:szCs w:val="18"/>
          <w:color w:val="auto"/>
        </w:rPr>
      </w:pPr>
    </w:p>
    <w:p>
      <w:pPr>
        <w:ind w:left="4" w:right="700" w:firstLine="436"/>
        <w:spacing w:after="0" w:line="282" w:lineRule="auto"/>
        <w:tabs>
          <w:tab w:leader="none" w:pos="65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the net proceeds received by it from the sale of the Securities pursuant to this Agreement in the manner specified in the Pricing Prospectus under the caption “Use of Proceeds”;</w:t>
      </w:r>
    </w:p>
    <w:p>
      <w:pPr>
        <w:spacing w:after="0" w:line="161"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its best efforts to list, subject to notice of issuance the Securities on the Exchange;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27" w:name="page28"/>
    <w:bookmarkEnd w:id="27"/>
    <w:p>
      <w:pPr>
        <w:ind w:left="-20" w:right="100" w:firstLine="436"/>
        <w:spacing w:after="0" w:line="258" w:lineRule="auto"/>
        <w:tabs>
          <w:tab w:leader="none" w:pos="6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reasonable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Securities (the “License”); provided, however, that the License shall be used solely for the purpose described above, is granted without any fee and may not be assigned or transferred and shall terminate at the later of (i) completion of the distribution of the Securities within the meaning of the Act and (ii) the last Time of Delivery;</w:t>
      </w:r>
    </w:p>
    <w:p>
      <w:pPr>
        <w:spacing w:after="0" w:line="183" w:lineRule="exact"/>
        <w:rPr>
          <w:rFonts w:ascii="Times New Roman" w:cs="Times New Roman" w:eastAsia="Times New Roman" w:hAnsi="Times New Roman"/>
          <w:sz w:val="18"/>
          <w:szCs w:val="18"/>
          <w:color w:val="auto"/>
        </w:rPr>
      </w:pPr>
    </w:p>
    <w:p>
      <w:pPr>
        <w:ind w:left="-20" w:firstLine="436"/>
        <w:spacing w:after="0" w:line="282"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file with ASX the Prospectus, and any other materials required to be released on the ASX announcements platform pursuant to the ASX Listing Rules within the applicable time periods prescribed for such filings by the ASX Listing Rules;</w:t>
      </w:r>
    </w:p>
    <w:p>
      <w:pPr>
        <w:spacing w:after="0" w:line="161" w:lineRule="exact"/>
        <w:rPr>
          <w:rFonts w:ascii="Times New Roman" w:cs="Times New Roman" w:eastAsia="Times New Roman" w:hAnsi="Times New Roman"/>
          <w:sz w:val="18"/>
          <w:szCs w:val="18"/>
          <w:color w:val="auto"/>
        </w:rPr>
      </w:pPr>
    </w:p>
    <w:p>
      <w:pPr>
        <w:jc w:val="both"/>
        <w:ind w:left="-20" w:right="60" w:firstLine="436"/>
        <w:spacing w:after="0" w:line="266" w:lineRule="auto"/>
        <w:tabs>
          <w:tab w:leader="none" w:pos="7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immediately after any issue of Securities, give a notice to ASX in accordance with sub-sections 708A(5)(e) and 708A(6) of the Corporations Act (“Cleansing Notice”) and ensure that all relevant requirements of section 708A of the Corporations Act are met and continue to be met; and</w:t>
      </w:r>
    </w:p>
    <w:p>
      <w:pPr>
        <w:spacing w:after="0" w:line="175" w:lineRule="exact"/>
        <w:rPr>
          <w:rFonts w:ascii="Times New Roman" w:cs="Times New Roman" w:eastAsia="Times New Roman" w:hAnsi="Times New Roman"/>
          <w:sz w:val="18"/>
          <w:szCs w:val="18"/>
          <w:color w:val="auto"/>
        </w:rPr>
      </w:pPr>
    </w:p>
    <w:p>
      <w:pPr>
        <w:ind w:left="-20" w:right="40" w:firstLine="436"/>
        <w:spacing w:after="0" w:line="258" w:lineRule="auto"/>
        <w:tabs>
          <w:tab w:leader="none" w:pos="6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 have furnished or caused to be furnished to the Underwriters at or prior to the Closing Date, a certificate of the Company, duly executed and acknowledged by a responsible corporate officer of the Company, dated not more than thirty (30) days prior to the Closing Date, conforming to the requirements of Treasury Regulations Section 1.1445-2(c)(3) and 1.897-2(h) and reasonably satisfactory to the Underwriters, certifying that the Company is not a “United States real property holding corporation” within the meaning of the Code and the Treasury Regulations promulgated thereunder and (ii) shall mail to the IRS the required notice, as described in Treasury Regulations Section 1.897-2(h)(2).</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6.</w:t>
      </w:r>
    </w:p>
    <w:p>
      <w:pPr>
        <w:spacing w:after="0" w:line="225" w:lineRule="exact"/>
        <w:rPr>
          <w:sz w:val="20"/>
          <w:szCs w:val="20"/>
          <w:color w:val="auto"/>
        </w:rPr>
      </w:pPr>
    </w:p>
    <w:p>
      <w:pPr>
        <w:ind w:left="-20" w:firstLine="436"/>
        <w:spacing w:after="0" w:line="255" w:lineRule="auto"/>
        <w:tabs>
          <w:tab w:leader="none" w:pos="6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agrees that, without the prior consent of the Representatives, it has not made and will not make any offer relating to the Securities that would constitute a “free writing prospectus” as defined in Rule 405 under the Act; each Selling Stockholder represents and agrees that, without the prior consent of the Company and the Representatives, it has not made and will not make any offer relating to the Securities that would constitute a “free writing prospectus”; each Underwriter represents and agrees that, without the prior consent of the Company and the Representatives, it has not made and will not make any offer relating to the Securities that would constitute a free writing prospectus required to be filed with the Commission; any such free writing prospectus the use of which has been consented to by the Company and the Representatives is listed on Schedule III(a) hereto;</w:t>
      </w:r>
    </w:p>
    <w:p>
      <w:pPr>
        <w:spacing w:after="0" w:line="188" w:lineRule="exact"/>
        <w:rPr>
          <w:rFonts w:ascii="Times New Roman" w:cs="Times New Roman" w:eastAsia="Times New Roman" w:hAnsi="Times New Roman"/>
          <w:sz w:val="18"/>
          <w:szCs w:val="18"/>
          <w:color w:val="auto"/>
        </w:rPr>
      </w:pPr>
    </w:p>
    <w:p>
      <w:pPr>
        <w:ind w:left="-20" w:right="20" w:firstLine="436"/>
        <w:spacing w:after="0" w:line="266" w:lineRule="auto"/>
        <w:tabs>
          <w:tab w:leader="none" w:pos="6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60" w:top="270" w:right="479" w:bottom="1440" w:gutter="0" w:footer="0" w:header="0"/>
        </w:sectPr>
      </w:pPr>
    </w:p>
    <w:bookmarkStart w:id="28" w:name="page29"/>
    <w:bookmarkEnd w:id="28"/>
    <w:p>
      <w:pPr>
        <w:ind w:left="-20" w:firstLine="436"/>
        <w:spacing w:after="0" w:line="254" w:lineRule="auto"/>
        <w:tabs>
          <w:tab w:leader="none" w:pos="6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agrees that if at any time following issuance of an Issuer Free Writing Prospectus or Written Testing-the-Waters Communication prepared or authorized by the Company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this representation and warranty shall not apply to any statements or omissions in an Issuer Free Writing Prospectus or a Written Testing-the-Waters Communication made in reliance upon and in conformity with the Underwriter Information or any Selling Stockholder Information;</w:t>
      </w:r>
    </w:p>
    <w:p>
      <w:pPr>
        <w:spacing w:after="0" w:line="188" w:lineRule="exact"/>
        <w:rPr>
          <w:rFonts w:ascii="Times New Roman" w:cs="Times New Roman" w:eastAsia="Times New Roman" w:hAnsi="Times New Roman"/>
          <w:sz w:val="18"/>
          <w:szCs w:val="18"/>
          <w:color w:val="auto"/>
        </w:rPr>
      </w:pPr>
    </w:p>
    <w:p>
      <w:pPr>
        <w:ind w:left="-20" w:right="200" w:firstLine="436"/>
        <w:spacing w:after="0" w:line="255" w:lineRule="auto"/>
        <w:tabs>
          <w:tab w:leader="none" w:pos="6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(a)(8), (a)(9), (a)(12) or (a)(13) under the Act; and (ii) it has not distributed, or authorized any other person to distribute, any Written Testing-the-Waters Communication, other than those distributed with the prior consent of the Representatives that are listed on Schedule II(d) hereto; and the Company reconfirms that the Underwriters have been authorized to act on its behalf in engaging in Testing-the-Waters Communications; and</w:t>
      </w:r>
    </w:p>
    <w:p>
      <w:pPr>
        <w:spacing w:after="0" w:line="188" w:lineRule="exact"/>
        <w:rPr>
          <w:rFonts w:ascii="Times New Roman" w:cs="Times New Roman" w:eastAsia="Times New Roman" w:hAnsi="Times New Roman"/>
          <w:sz w:val="18"/>
          <w:szCs w:val="18"/>
          <w:color w:val="auto"/>
        </w:rPr>
      </w:pPr>
    </w:p>
    <w:p>
      <w:pPr>
        <w:ind w:left="-20" w:right="160" w:firstLine="436"/>
        <w:spacing w:after="0" w:line="261" w:lineRule="auto"/>
        <w:tabs>
          <w:tab w:leader="none" w:pos="6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represents and agrees that (i) any Testing-the-Waters Communications undertaken by it were with entities that such Underwriter reasonably believes are qualified institutional buyers as defined in Rule 144A under the Act or institutions that are accredited investors as defined in Rule 501(a)(1), (a)(2), (a)(3), (a)(7) or (a)(8) under the Act and (ii) it will not distribute, or authorize any other person to distribute, any Written Testing the Waters Communication, other than those distributed with the prior written authorization of the Company.</w:t>
      </w:r>
    </w:p>
    <w:p>
      <w:pPr>
        <w:spacing w:after="0" w:line="180" w:lineRule="exact"/>
        <w:rPr>
          <w:sz w:val="20"/>
          <w:szCs w:val="20"/>
          <w:color w:val="auto"/>
        </w:rPr>
      </w:pPr>
    </w:p>
    <w:p>
      <w:pPr>
        <w:ind w:left="-20" w:right="80" w:firstLine="436"/>
        <w:spacing w:after="0" w:line="254"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with the several Underwriters that the (a) Company will pay or cause to be paid the following: (i) the fees, disbursements and expenses of the Company’s counsel and accountants in connection with the registration of the Securities under the Act and all other expenses in connection with the preparation, printing, reproduction and filing of the Registration Statement, the Basic Prospectus,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Securities; (iii) all expenses in connection with the qualification of the Securities for offering and sale under state securities laws as provided in Section 5(c) hereof, including the reasonable and documented fees and disbursements of counsel for the Underwriters in connection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60" w:top="270" w:right="479" w:bottom="1440" w:gutter="0" w:footer="0" w:header="0"/>
        </w:sectPr>
      </w:pPr>
    </w:p>
    <w:bookmarkStart w:id="29" w:name="page30"/>
    <w:bookmarkEnd w:id="2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such qualification and in connection with the Blue Sky survey; (iv) all fees and expenses in connection with listing the Securities on the Exchange;</w:t>
      </w:r>
    </w:p>
    <w:p>
      <w:pPr>
        <w:spacing w:after="0" w:line="27" w:lineRule="exact"/>
        <w:rPr>
          <w:sz w:val="20"/>
          <w:szCs w:val="20"/>
          <w:color w:val="auto"/>
        </w:rPr>
      </w:pPr>
    </w:p>
    <w:p>
      <w:pPr>
        <w:ind w:left="4" w:hanging="4"/>
        <w:spacing w:after="0" w:line="251"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fees incident to, and the reasonable and documented fees and disbursements of counsel for the Underwriters in connection with, any required review by the FINRA of the terms of the sale of the Securities; (vi) the cost of preparing stock certificates, if applicable; (vii) the cost and charges of any transfer agent or registrar; (viii) all other costs and expenses incident to the performance of its obligations hereunder which are not otherwise specifically provided for in this Section; (ix) any fees and expenses of counsel for such Selling Stockholder; and (x) the fees and expenses of the Attorneys-in-Fact and the Custodian; provided, however, that the amounts payable by the Company in connection with the reasonable and documented fees and disbursements for counsel described in clauses (iii) and (v) shall not exceed $40,000 in the aggregate, and the Underwriters and the Company shall each pay 50% of the cost of chartering any aircraft to be used in connection with any “road show” by the Company and the Underwriters; and (b) such Selling Stockholder will pay or cause to be paid all costs and expenses incident to the performance of such Selling Stockholder’s obligations hereunder with respect to all taxes incident to the sale and delivery of the Securities to be sold by such Selling Stockholder to the Underwriters hereunder. It is understood, however, that, except as provided in this Section, and Sections 9 and 12 hereof, the Underwriters will pay all of their own costs and expenses, including the fees of their counsel, transfer taxes on resale of any of the Securities by them, and any advertising expenses connected with any offers they may make. The provisions of this Section shall not supersede or otherwise affect any agreement that the Company and the Selling Stockholders may otherwise have for the allocation of such expenses or commissions among themselves.</w:t>
      </w:r>
    </w:p>
    <w:p>
      <w:pPr>
        <w:spacing w:after="0" w:line="191" w:lineRule="exact"/>
        <w:rPr>
          <w:rFonts w:ascii="Times New Roman" w:cs="Times New Roman" w:eastAsia="Times New Roman" w:hAnsi="Times New Roman"/>
          <w:sz w:val="18"/>
          <w:szCs w:val="18"/>
          <w:color w:val="auto"/>
        </w:rPr>
      </w:pPr>
    </w:p>
    <w:p>
      <w:pPr>
        <w:ind w:left="4" w:right="60" w:firstLine="436"/>
        <w:spacing w:after="0" w:line="261" w:lineRule="auto"/>
        <w:tabs>
          <w:tab w:leader="none" w:pos="62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Underwriters hereunder, as to the Securities to be delivered at each Time of Delivery, shall be subject, in their discretion, to the condition that all representations and warranties and other statements of the Company and the Selling Stockholders herein are, at and as of the Applicable Time and such Time of Delivery, true and correct, the condition that the Company and the Selling Stockholders shall have performed all of its and their obligations hereunder theretofore to be performed, and the following additional conditions:</w:t>
      </w:r>
    </w:p>
    <w:p>
      <w:pPr>
        <w:spacing w:after="0" w:line="180" w:lineRule="exact"/>
        <w:rPr>
          <w:sz w:val="20"/>
          <w:szCs w:val="20"/>
          <w:color w:val="auto"/>
        </w:rPr>
      </w:pPr>
    </w:p>
    <w:p>
      <w:pPr>
        <w:ind w:left="4" w:right="80" w:firstLine="436"/>
        <w:spacing w:after="0" w:line="254" w:lineRule="auto"/>
        <w:tabs>
          <w:tab w:leader="none" w:pos="68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filings by Rule 433; no stop order suspending the effectiveness of the Registration Statement or any part thereof shall have been issued and no proceeding for that purpose or pursuant to Section 8A of the Act shall have been initiated or, to the Company’s knowledge, threatened by the Commission and no notice of objection of the Commission to the use of the Registration Statement or any post-effective amendment thereto pursuant to Rule 401(g)(2) under the Act shall have been received; no stop order suspending or preventing the use of the Preliminary Prospectus,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70" w:right="459" w:bottom="1440" w:gutter="0" w:footer="0" w:header="0"/>
        </w:sectPr>
      </w:pPr>
    </w:p>
    <w:bookmarkStart w:id="30" w:name="page31"/>
    <w:bookmarkEnd w:id="30"/>
    <w:p>
      <w:pPr>
        <w:ind w:right="120" w:firstLine="436"/>
        <w:spacing w:after="0" w:line="266"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Latham &amp; Watkins LLP, counsel for the Underwriters, shall have furnished to you such written opinion or opinions and negative assurance letter, dated such Time of Delivery, in form and substance satisfactory to you and such counsel shall have received such papers and information as they may reasonably request to enable them to pass upon such matters;</w:t>
      </w:r>
    </w:p>
    <w:p>
      <w:pPr>
        <w:spacing w:after="0" w:line="175" w:lineRule="exact"/>
        <w:rPr>
          <w:rFonts w:ascii="Times New Roman" w:cs="Times New Roman" w:eastAsia="Times New Roman" w:hAnsi="Times New Roman"/>
          <w:sz w:val="18"/>
          <w:szCs w:val="18"/>
          <w:color w:val="auto"/>
        </w:rPr>
      </w:pPr>
    </w:p>
    <w:p>
      <w:pPr>
        <w:ind w:right="540" w:firstLine="436"/>
        <w:spacing w:after="0" w:line="282"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Cooley LLP, counsel for the Company, shall have furnished to you their written opinion or negative assurance letter, dated such Time of Delivery, in form and substance satisfactory to you;</w:t>
      </w:r>
    </w:p>
    <w:p>
      <w:pPr>
        <w:spacing w:after="0" w:line="161"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Whalen LLP, counsel for each of the Selling Stockholders, shall have furnished to you their written opinion with respect to each of the Selling Stockholders for whom they are acting as counsel, dated such Time of Delivery, in form and substance satisfactory to you;</w:t>
      </w:r>
    </w:p>
    <w:p>
      <w:pPr>
        <w:spacing w:after="0" w:line="161" w:lineRule="exact"/>
        <w:rPr>
          <w:rFonts w:ascii="Times New Roman" w:cs="Times New Roman" w:eastAsia="Times New Roman" w:hAnsi="Times New Roman"/>
          <w:sz w:val="18"/>
          <w:szCs w:val="18"/>
          <w:color w:val="auto"/>
        </w:rPr>
      </w:pPr>
    </w:p>
    <w:p>
      <w:pPr>
        <w:jc w:val="both"/>
        <w:ind w:right="40" w:firstLine="436"/>
        <w:spacing w:after="0" w:line="266"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the Prospectus at a time prior to or contemporaneously with the execution of this Agreement, and also at each Time of Delivery, each of Deloitte and BDO shall have furnished to you a letter or letters, dated the respective dates of delivery thereof, in form and substance satisfactory to you;</w:t>
      </w:r>
    </w:p>
    <w:p>
      <w:pPr>
        <w:spacing w:after="0" w:line="175" w:lineRule="exact"/>
        <w:rPr>
          <w:rFonts w:ascii="Times New Roman" w:cs="Times New Roman" w:eastAsia="Times New Roman" w:hAnsi="Times New Roman"/>
          <w:sz w:val="18"/>
          <w:szCs w:val="18"/>
          <w:color w:val="auto"/>
        </w:rPr>
      </w:pPr>
    </w:p>
    <w:p>
      <w:pPr>
        <w:ind w:firstLine="436"/>
        <w:spacing w:after="0" w:line="252" w:lineRule="auto"/>
        <w:tabs>
          <w:tab w:leader="none" w:pos="6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the Company nor any of its subsidiaries shall have sustained since the date of the latest audited financial statements included or incorporated by reference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of the Company (other than as a result of (A) the exercise or settlement, if any, of stock options or restricted stock units (including any “net” or “cashless” exercises or settlements), or the award, if any, of stock options, restricted stock units, restricted stock or other awards, in each case pursuant to the Company’s equity plans that are described in the Pricing Prospectus and the Prospectus (or the documents incorporated by reference therein); (B) the issuance by the Company of securities convertible into, exchangeable for or that represent that right to receive shares of Stock on the date of the Pricing Prospectus, in each case as described in the Pricing Prospectus and Prospectus (or the documents incorporated by reference therein) or (C) the issuance, if any, of Stock upon conversion or exercise of Company securities as described in the Pricing Prospectus and the Prospectus (or the documents incorporated by reference therein)) or long term debt of the Company or any of its subsidiaries or any change or effect, or any development involving a prospective change or effect, in or affecting (x) the business, properties, general affairs, management, financial position, stockholders’ equity or results of operations of the Company and its subsidiaries, taken as a whole, except as set forth or contemplated in the Pricing Prospectus, or (y) the ability of the Company to perform its obligations under this Agreement, including the issuance and sale of the Securities, or to consummate the 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Securities being delivered at such Time of Delivery on the terms and in the manner contemplated in the Pricing Prospectus and the Prospectus;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1" w:name="page32"/>
    <w:bookmarkEnd w:id="31"/>
    <w:p>
      <w:pPr>
        <w:ind w:left="4" w:right="180" w:firstLine="436"/>
        <w:spacing w:after="0" w:line="282" w:lineRule="auto"/>
        <w:tabs>
          <w:tab w:leader="none" w:pos="6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are no debt securities of the Company, or of any of the Company’s subsidiaries, that are rated by any “nationally recognized statistical rating organization,” as defined in Section 3(a)(62) of the Exchange Act;</w:t>
      </w:r>
    </w:p>
    <w:p>
      <w:pPr>
        <w:spacing w:after="0" w:line="161"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receiving a signed no-action letter from ASIC (in a form and substance satisfactory to the Underwriters, acting reasonably) with respect to transactions contemplated by this Agreement (including in connection with the Optional Shares);</w:t>
      </w:r>
    </w:p>
    <w:p>
      <w:pPr>
        <w:spacing w:after="0" w:line="161" w:lineRule="exact"/>
        <w:rPr>
          <w:rFonts w:ascii="Times New Roman" w:cs="Times New Roman" w:eastAsia="Times New Roman" w:hAnsi="Times New Roman"/>
          <w:sz w:val="18"/>
          <w:szCs w:val="18"/>
          <w:color w:val="auto"/>
        </w:rPr>
      </w:pPr>
    </w:p>
    <w:p>
      <w:pPr>
        <w:jc w:val="both"/>
        <w:ind w:left="4" w:right="60" w:firstLine="436"/>
        <w:spacing w:after="0" w:line="266" w:lineRule="auto"/>
        <w:tabs>
          <w:tab w:leader="none" w:pos="65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ASIC has not issued proceedings or commenced any inquiry or investigation in relation to the Securities, the CDIs or the Prospectus; or (ii) no regulatory body has commenced any public action against an officer of the Company in his or her capacity as an officer of the Company and no officer of the Company has been charged with an indictable offence or has been disqualified from managing a corporation under the Corporations Act;</w:t>
      </w:r>
    </w:p>
    <w:p>
      <w:pPr>
        <w:spacing w:after="0" w:line="175" w:lineRule="exact"/>
        <w:rPr>
          <w:rFonts w:ascii="Times New Roman" w:cs="Times New Roman" w:eastAsia="Times New Roman" w:hAnsi="Times New Roman"/>
          <w:sz w:val="18"/>
          <w:szCs w:val="18"/>
          <w:color w:val="auto"/>
        </w:rPr>
      </w:pPr>
    </w:p>
    <w:p>
      <w:pPr>
        <w:ind w:left="4" w:firstLine="436"/>
        <w:spacing w:after="0" w:line="282" w:lineRule="auto"/>
        <w:tabs>
          <w:tab w:leader="none" w:pos="65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any other materials required to be filed by the Company pursuant to the ASX Listing Rules shall have been released on the ASX announcements platform within the applicable time periods prescribed for such filings by the ASX Listing Rules;</w:t>
      </w:r>
    </w:p>
    <w:p>
      <w:pPr>
        <w:spacing w:after="0" w:line="161" w:lineRule="exact"/>
        <w:rPr>
          <w:rFonts w:ascii="Times New Roman" w:cs="Times New Roman" w:eastAsia="Times New Roman" w:hAnsi="Times New Roman"/>
          <w:sz w:val="18"/>
          <w:szCs w:val="18"/>
          <w:color w:val="auto"/>
        </w:rPr>
      </w:pPr>
    </w:p>
    <w:p>
      <w:pPr>
        <w:ind w:left="4" w:right="60" w:firstLine="436"/>
        <w:spacing w:after="0" w:line="269" w:lineRule="auto"/>
        <w:tabs>
          <w:tab w:leader="none" w:pos="699"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after the Applicable Time there shall not have occurred any of the following: (i) a suspension or material limitation in trading in securities generally on the Exchange; (ii) a suspension or material limitation in trading in the Company’s securities on the Exchange or the ASX (other than any trading halt on the ASX in accordance with ASX Listing Rule 17.1);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w:t>
      </w:r>
    </w:p>
    <w:p>
      <w:pPr>
        <w:spacing w:after="0" w:line="2" w:lineRule="exact"/>
        <w:rPr>
          <w:rFonts w:ascii="Times New Roman" w:cs="Times New Roman" w:eastAsia="Times New Roman" w:hAnsi="Times New Roman"/>
          <w:sz w:val="17"/>
          <w:szCs w:val="17"/>
          <w:color w:val="auto"/>
        </w:rPr>
      </w:pPr>
    </w:p>
    <w:p>
      <w:pPr>
        <w:ind w:left="4" w:right="120" w:hanging="4"/>
        <w:spacing w:after="0" w:line="253" w:lineRule="auto"/>
        <w:tabs>
          <w:tab w:leader="none" w:pos="2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Securities being delivered at such Time of Delivery on the terms and in the manner contemplated in the Pricing Prospectus and the Prospectus;</w:t>
      </w:r>
    </w:p>
    <w:p>
      <w:pPr>
        <w:spacing w:after="0" w:line="188" w:lineRule="exact"/>
        <w:rPr>
          <w:rFonts w:ascii="Times New Roman" w:cs="Times New Roman" w:eastAsia="Times New Roman" w:hAnsi="Times New Roman"/>
          <w:sz w:val="18"/>
          <w:szCs w:val="18"/>
          <w:color w:val="auto"/>
        </w:rPr>
      </w:pPr>
    </w:p>
    <w:p>
      <w:pPr>
        <w:ind w:left="4" w:right="200" w:firstLine="436"/>
        <w:spacing w:after="0" w:line="282" w:lineRule="auto"/>
        <w:tabs>
          <w:tab w:leader="none" w:pos="65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complied with the provisions of Section 5(e) hereof with respect to the furnishing of prospectuses on the New York Business Day next succeeding the date of this Agreement (or such other time as may be agreed by the Representatives and the Company);</w:t>
      </w:r>
    </w:p>
    <w:p>
      <w:pPr>
        <w:spacing w:after="0" w:line="161"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shall have been duly listed for quotation on the Exchange;</w:t>
      </w:r>
    </w:p>
    <w:p>
      <w:pPr>
        <w:spacing w:after="0" w:line="225" w:lineRule="exact"/>
        <w:rPr>
          <w:rFonts w:ascii="Times New Roman" w:cs="Times New Roman" w:eastAsia="Times New Roman" w:hAnsi="Times New Roman"/>
          <w:sz w:val="18"/>
          <w:szCs w:val="18"/>
          <w:color w:val="auto"/>
        </w:rPr>
      </w:pPr>
    </w:p>
    <w:p>
      <w:pPr>
        <w:ind w:left="4" w:right="320" w:firstLine="436"/>
        <w:spacing w:after="0" w:line="282" w:lineRule="auto"/>
        <w:tabs>
          <w:tab w:leader="none" w:pos="69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and delivered to the Underwriters executed copies of an agreement from each officer and director of the Company and from the Selling Stockholders, substantially to the effect set forth in Annex I hereto; and</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4"/>
          </w:cols>
          <w:pgMar w:left="436" w:top="270" w:right="479" w:bottom="1440" w:gutter="0" w:footer="0" w:header="0"/>
        </w:sectPr>
      </w:pPr>
    </w:p>
    <w:bookmarkStart w:id="32" w:name="page33"/>
    <w:bookmarkEnd w:id="32"/>
    <w:p>
      <w:pPr>
        <w:ind w:left="-20" w:right="40" w:firstLine="436"/>
        <w:spacing w:after="0" w:line="256" w:lineRule="auto"/>
        <w:tabs>
          <w:tab w:leader="none" w:pos="6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the Selling Stockholders shall have furnished or caused to be furnished to you at such Time of Delivery certificates of officers of the Company and of the Selling Stockholders (or Attorneys-in-Fact on behalf of Selling Stockholders, as applicable), respectively, satisfactory to you as to the accuracy of the representations and warranties of the Company and the Selling Stockholders, respectively, herein at and as of such Time of Delivery, as to the performance by the Company and the Selling Stockholders of all of its or their respective obligations hereunder to be performed at or prior to such Time of Delivery, as to the matters set forth in subsections (a) and (f) of this Section 8 and as to such other matters as you may reasonably request.</w:t>
      </w:r>
    </w:p>
    <w:p>
      <w:pPr>
        <w:spacing w:after="0" w:line="187" w:lineRule="exact"/>
        <w:rPr>
          <w:sz w:val="20"/>
          <w:szCs w:val="20"/>
          <w:color w:val="auto"/>
        </w:rPr>
      </w:pPr>
    </w:p>
    <w:p>
      <w:pPr>
        <w:ind w:left="-20" w:firstLine="436"/>
        <w:spacing w:after="0" w:line="253" w:lineRule="auto"/>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the Prospectus or the Cleansing Notice, or any amendment or supplement thereto, any Issuer Free Writing Prospectus, any “roadshow” as defined in Rule 433(h) under the Act (a “roadshow”), any “issuer information” filed or required to be filed pursuant to Rule 433(d) under the Act or any Testing-the-Waters Communication prepared or authorized by the Company, or arise out of or are based upon the omission or alleged omission to state therein a material fact required to be stated therein or necessary to make the statements therein not misleading, and will reimburse each Underwriter for any documented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the Basic Prospectus, any Preliminary Prospectus, the Pricing Prospectus, the Prospectus or the Cleansing Notice, or any amendment or supplement thereto, or any Issuer Free Writing Prospectus, or any Testing-the-Waters Communication, in reliance upon and in conformity with the Underwriter Information.</w:t>
      </w:r>
    </w:p>
    <w:p>
      <w:pPr>
        <w:spacing w:after="0" w:line="187" w:lineRule="exact"/>
        <w:rPr>
          <w:sz w:val="20"/>
          <w:szCs w:val="20"/>
          <w:color w:val="auto"/>
        </w:rPr>
      </w:pPr>
    </w:p>
    <w:p>
      <w:pPr>
        <w:ind w:left="-20" w:right="60" w:firstLine="436"/>
        <w:spacing w:after="0" w:line="254" w:lineRule="auto"/>
        <w:tabs>
          <w:tab w:leader="none" w:pos="6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Stockholders, severally and not jointly,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any Issuer Free Writing Prospectus,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any Preliminary Prospectus, the Pricing Prospectus or the Prospectus, or any amendment or supplement thereto or any Issuer Free Writing Prospectus, or any roadshow or any Testing-the-Waters Communication, 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60" w:top="270" w:right="459" w:bottom="1440" w:gutter="0" w:footer="0" w:header="0"/>
        </w:sectPr>
      </w:pPr>
    </w:p>
    <w:bookmarkStart w:id="33" w:name="page34"/>
    <w:bookmarkEnd w:id="33"/>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reliance upon and in conformity with Selling Stockholder Information furnished to the Company by such Selling Stockholder expressly for use therein; and will reimburse each Underwriter for any legal or other expenses reasonably incurred by such Underwriter in connection with investigating or defending any such action or claim as such expenses are incurred; provided, however, that such Selling Stockholder shall not be liable in any such case to the extent that any such loss, claim, damage or liability arises out of or is based upon an untrue statement or alleged untrue statement or omission or alleged omission made in the Registration Statement, the Basic Prospectus, any Preliminary Prospectus, the Pricing Prospectus or the Prospectus or any amendment or supplement thereto or any Issuer Free Writing Prospectus in reliance upon and in conformity with the Underwriter Information; provided further, that the liability of such Selling Stockholder pursuant to this Section 9(b) shall not exceed the net proceeds (net of any underwriting discounts and commissions, but before deducting expenses) from the sale of the Securities sold by such Selling Stockholder hereunder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 less any amounts that such Selling Stockholder is obligated to pay or contribute pursuant to Section 9(e) below.</w:t>
      </w:r>
    </w:p>
    <w:p>
      <w:pPr>
        <w:spacing w:after="0" w:line="188" w:lineRule="exact"/>
        <w:rPr>
          <w:sz w:val="20"/>
          <w:szCs w:val="20"/>
          <w:color w:val="auto"/>
        </w:rPr>
      </w:pPr>
    </w:p>
    <w:p>
      <w:pPr>
        <w:ind w:firstLine="436"/>
        <w:spacing w:after="0" w:line="252" w:lineRule="auto"/>
        <w:tabs>
          <w:tab w:leader="none" w:pos="6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will indemnify and hold harmless the Company and each Selling Stockholder against any losses, claims, damages or liabilities to which the Company or such Selling Stockholder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any Preliminary Prospectus, the Pricing Prospectus or the Prospectus or any such amendment or supplement thereto, or any Issuer Free Writing Prospectus, or any roadshow or any Testing-the-Waters Communication, in reliance upon and in conformity with the Underwriter Information; and will reimburse the Company and each Selling Stockholder for any reasonable and documented out-of-pocket legal or other expenses reasonably incurred by the Company or such Selling Stockholder in connection with investigating or defending any such action or claim as such expenses are incurred (provided that the legal expenses of the Selling Stockholders shall be limited to a single firm acting on behalf of all Selling Stockholders).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fifth paragraph under the caption “Underwriting”, and the information contained in the tenth, eleventh and twelfth paragraphs under the caption “Underwriting”.</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34" w:name="page35"/>
    <w:bookmarkEnd w:id="34"/>
    <w:p>
      <w:pPr>
        <w:ind w:left="4" w:firstLine="436"/>
        <w:spacing w:after="0" w:line="252" w:lineRule="auto"/>
        <w:tabs>
          <w:tab w:leader="none" w:pos="69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after receipt by an indemnified party under subsection (a), (b) or (c) of this Section 9 above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93"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indemnification provided for in this Section 9 is unavailable to or insufficient to hold harmless an indemnified party under subsection (a),</w:t>
      </w:r>
    </w:p>
    <w:p>
      <w:pPr>
        <w:spacing w:after="0" w:line="38" w:lineRule="exact"/>
        <w:rPr>
          <w:rFonts w:ascii="Times New Roman" w:cs="Times New Roman" w:eastAsia="Times New Roman" w:hAnsi="Times New Roman"/>
          <w:sz w:val="17"/>
          <w:szCs w:val="17"/>
          <w:color w:val="auto"/>
        </w:rPr>
      </w:pPr>
    </w:p>
    <w:p>
      <w:pPr>
        <w:ind w:left="4" w:right="20" w:hanging="4"/>
        <w:spacing w:after="0" w:line="251" w:lineRule="auto"/>
        <w:tabs>
          <w:tab w:leader="none" w:pos="2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and the Selling Stockholders on the one hand and the Underwriters on the other from the offering of the Securities.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and the Selling Stockholders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and the Selling Stockholders on the one hand and the Underwriters on the other shall be deemed to be in the same proportion as the total net proceeds from the offering (before deducting expenses) received by the Company and the Selling Stockholders bear to the total underwriting discounts and commissions received by the Underwriters, in each case as set forth in the table on the cover page of the Prospectus. The relative fault shall be determined by reference to, among other things, whether the</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70" w:right="459" w:bottom="1440" w:gutter="0" w:footer="0" w:header="0"/>
        </w:sectPr>
      </w:pPr>
    </w:p>
    <w:bookmarkStart w:id="35" w:name="page36"/>
    <w:bookmarkEnd w:id="3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untrue or alleged untrue statement of a material fact or the omission or alleged omission to state a material fact relates to information supplied by the Company and the Selling Stockholders on the one hand (provided that, with respect to each of the Selling Stockholders, such determination shall be limited by reference only to such Selling Stockholder’s Selling Stockholder Information) or the Underwriters on the other and the parties’ relative intent, knowledge, access to information and opportunity to correct or prevent such statement or omission. The Company, each of the Selling Stockholders and the Underwriters agree that it would not be just and equitable if contribution pursuant to this subsection (e) were determined by pro rata allocation (even if the Underwriters were treated as one entity for such purpose) or by any other method of allocation which does not take account of the equitable considerations referred to above in this subsection (e). The amount paid or payable by an indemnified party as a result of the losses, claims, damages or liabilities (or actions in respect thereof) referred to above in this subsection (e) shall be deemed to include any documented legal or other expenses reasonably incurred by such indemnified party in connection with investigating or defending any such action or claim. Notwithstanding the provisions of this subsection (e),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(e) to contribute are several in proportion to their respective underwriting obligations and not joint. The liability of each Selling Stockholder under this Section 9(e) shall be limited to an amount equal to its Selling Stockholder Proceeds less any amounts such Selling Stockholder is obligated to pay or contribute under Section 9(b) above.</w:t>
      </w:r>
    </w:p>
    <w:p>
      <w:pPr>
        <w:spacing w:after="0" w:line="195" w:lineRule="exact"/>
        <w:rPr>
          <w:sz w:val="20"/>
          <w:szCs w:val="20"/>
          <w:color w:val="auto"/>
        </w:rPr>
      </w:pPr>
    </w:p>
    <w:p>
      <w:pPr>
        <w:ind w:right="100" w:firstLine="436"/>
        <w:spacing w:after="0" w:line="256" w:lineRule="auto"/>
        <w:tabs>
          <w:tab w:leader="none" w:pos="6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and the Selling Stockholders under this Section 9 shall be in addition to any liability which the Company and the Selling Stockholders may otherwise have and shall extend, upon the same terms and conditions, to each employee, officer and director of each Underwriter,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and to each person, if any, who controls the Company or any Selling Stockholder within the meaning of the Act.</w:t>
      </w:r>
    </w:p>
    <w:p>
      <w:pPr>
        <w:spacing w:after="0" w:line="187" w:lineRule="exact"/>
        <w:rPr>
          <w:sz w:val="20"/>
          <w:szCs w:val="20"/>
          <w:color w:val="auto"/>
        </w:rPr>
      </w:pPr>
    </w:p>
    <w:p>
      <w:pPr>
        <w:ind w:firstLine="436"/>
        <w:spacing w:after="0" w:line="256" w:lineRule="auto"/>
        <w:tabs>
          <w:tab w:leader="none" w:pos="71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any Underwriter shall default in its obligation to purchase the Securities which it has agreed to purchase hereunder at a Time of Delivery, you may in your discretion arrange for you or another party or other parties to purchase such Securities on the terms contained herein. If within thirty six hours after such default by any Underwriter you do not arrange for the purchase of such Securities, then the Company and the Selling Stockholders shall be entitled to a further period of thirty six hours within which to procure another party or other parties satisfactory to you to purchase such Securities on such terms. In the event that, within the respective prescribed periods, you notify the Company and the Selling Stockholders that you have so arranged for the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36" w:name="page37"/>
    <w:bookmarkEnd w:id="36"/>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 of such Securities, or the Company or a Selling Stockholder notifies you that it has so arranged for the purchase of such Securities, you or the Company or the Selling Stockholders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Securities.</w:t>
      </w:r>
    </w:p>
    <w:p>
      <w:pPr>
        <w:spacing w:after="0" w:line="187" w:lineRule="exact"/>
        <w:rPr>
          <w:sz w:val="20"/>
          <w:szCs w:val="20"/>
          <w:color w:val="auto"/>
        </w:rPr>
      </w:pPr>
    </w:p>
    <w:p>
      <w:pPr>
        <w:ind w:right="80" w:firstLine="436"/>
        <w:spacing w:after="0" w:line="255"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Securities of a defaulting Underwriter or Underwriters by you, the Company and the Selling Stockholders as provided in subsection (a) above, the aggregate number of such Securities which remains unpurchased does not exceed one eleventh of the aggregate number of all the Securities to be purchased at such Time of Delivery, then the Company and the Selling Stockholders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Securities which such Underwriter agreed to purchase hereunder) of the Securities of such defaulting Underwriter or Underwriters for which such arrangements have not been made; but nothing herein shall relieve a defaulting Underwriter from liability for its default.</w:t>
      </w:r>
    </w:p>
    <w:p>
      <w:pPr>
        <w:spacing w:after="0" w:line="188"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Securities of a defaulting Underwriter or Underwriters by you and the Company as provided in subsection (a) above, the aggregate number of such Securities which remains unpurchased exceeds one eleventh of the aggregate number of all the Securities to be purchased at such Time of Delivery, or if the Company and the Selling Stockholders shall not exercise the right described in subsection (b) above to require non-defaulting Underwriters to purchase Securities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92" w:lineRule="exact"/>
        <w:rPr>
          <w:sz w:val="20"/>
          <w:szCs w:val="20"/>
          <w:color w:val="auto"/>
        </w:rPr>
      </w:pPr>
    </w:p>
    <w:p>
      <w:pPr>
        <w:ind w:firstLine="436"/>
        <w:spacing w:after="0" w:line="256" w:lineRule="auto"/>
        <w:tabs>
          <w:tab w:leader="none" w:pos="70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indemnities, rights of contribution, agreements, representations, warranties and other statements of the Company, the Selling Stockholders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affiliate or controlling person of any Underwriter, or the Company, or any of the Selling Stockholders, or any officer or director or controlling person of the Company, or any controlling person of any Selling Stockholder, and shall survive delivery of and payment for the Securities.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37" w:name="page38"/>
    <w:bookmarkEnd w:id="37"/>
    <w:p>
      <w:pPr>
        <w:ind w:firstLine="436"/>
        <w:spacing w:after="0" w:line="255" w:lineRule="auto"/>
        <w:tabs>
          <w:tab w:leader="none" w:pos="71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this Agreement shall be terminated pursuant to Section 10 hereof, neither the Company nor the Selling Stockholders shall then be under any liability to any Underwriter except as provided in Sections 7 and 9 hereof; but, if for any other reason, any the Securities are not delivered by or on behalf of the Company and the Selling Stockholders as provided herein, or the Underwriters decline to purchase the Securities for any reason permitted under this Agreement, the Company will reimburse the Underwriters through you for all documented out of pocket expenses approved in writing by you, including fees and disbursements of counsel, reasonably incurred by the Underwriters in making preparations for the purchase, sale and delivery of the Securities not so delivered, but the Company and the Selling Stockholders shall then be under no further liability to any Underwriter except as provided in Sections 7 and 9 hereof.</w:t>
      </w:r>
    </w:p>
    <w:p>
      <w:pPr>
        <w:spacing w:after="0" w:line="188" w:lineRule="exact"/>
        <w:rPr>
          <w:rFonts w:ascii="Times New Roman" w:cs="Times New Roman" w:eastAsia="Times New Roman" w:hAnsi="Times New Roman"/>
          <w:sz w:val="18"/>
          <w:szCs w:val="18"/>
          <w:color w:val="auto"/>
        </w:rPr>
      </w:pPr>
    </w:p>
    <w:p>
      <w:pPr>
        <w:ind w:right="40" w:firstLine="436"/>
        <w:spacing w:after="0" w:line="261" w:lineRule="auto"/>
        <w:tabs>
          <w:tab w:leader="none" w:pos="71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dealings hereunder, you shall act on behalf of each of the Underwriters, and the parties hereto shall be entitled to act and rely upon any statement, request, notice or agreement on behalf of any Underwriter made or given by you; and in all dealings with any Selling Stockholder hereunder, you and the Company shall be entitled to act and rely upon any statement, request, notice or agreement on behalf of such Selling Stockholder made or given by any or all of the Attorneys-in-Fact for such Selling Stockholder.</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All statements, requests, notices and agreements hereunder shall be in writing, and if to the Underwriters shall be delivered or sent by mail, telex or facsimile transmission to you as the representatives in care of Goldman Sachs &amp; Co. LLC, 200 West Street, New York, New York 10282-2198, Attention: Registration Department; Evercore Group L.L.C., 55 East 52nd Street, New York, New York 10055, Attention ECM General Counsel and UBS Securities LLC, 1285 Avenue of the Americas, New York, New York 10019, Attention: Syndicate; if to any Selling Stockholder shall be delivered or sent by mail, telex or facsimile transmission each of the Attorneys-in-Fact named in the Power of Attorney, c/o the Company at the address set forth on the cover of the Registration Statement, Attention: General Counsel, with a copy, which shall not constitute notice, to Whalen LLP, 4701 Von Karman Av, Suite 325, Newport Beach, CA 92660; and if to the Company shall be delivered or sent by mail, telex or facsimile transmission to the address of the Company set forth in the Registration Statement, Attention: Secretary (with a copy to Tom Hopkins, Cooley LLP, 1333 2nd St Ste 400, Santa Monica, CA 90401, which shall not constitute notice);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or the Selling Stockholders by you on request by you upon request; provided further that notices under subsection 5(e) shall be in writing. Any such statements, requests, notices or agreements shall take effect upon receipt thereof.</w:t>
      </w:r>
    </w:p>
    <w:p>
      <w:pPr>
        <w:spacing w:after="0" w:line="18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requirements of the USA Patriot Act (Title III of Pub. L. 107-56 (signed into law October 26, 2001)), the underwriters are required to obtain, verify and record information that identifies their respective clients, including the Company and the Selling Stockholders, which information may include the name and address of their respective clients, as well as other information that will allow the underwriters to properly identify their respective clients.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0"/>
          </w:cols>
          <w:pgMar w:left="440" w:top="270" w:right="499" w:bottom="1440" w:gutter="0" w:footer="0" w:header="0"/>
        </w:sectPr>
      </w:pPr>
    </w:p>
    <w:bookmarkStart w:id="38" w:name="page39"/>
    <w:bookmarkEnd w:id="38"/>
    <w:p>
      <w:pPr>
        <w:ind w:right="60" w:firstLine="436"/>
        <w:spacing w:after="0" w:line="258" w:lineRule="auto"/>
        <w:tabs>
          <w:tab w:leader="none" w:pos="7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shall be binding upon, and inure solely to the benefit of, the Underwriters, the Company and the Selling Stockholders, and, to the extent provided in Sections 9 and 11 hereof, the officers and directors of the Company and each person who controls the Company, any Selling Stockholder or any Underwriter, or any director, officer, employee, or affiliate of any Underwriter, and their respective heirs, executors, administrators, successors and assigns, and no other person shall acquire or have any right under or by virtue of this Agreement. No purchaser of any of the Securities from any Underwriter shall be deemed a successor or assign by reason merely of such purchase.</w:t>
      </w:r>
    </w:p>
    <w:p>
      <w:pPr>
        <w:spacing w:after="0" w:line="183" w:lineRule="exact"/>
        <w:rPr>
          <w:rFonts w:ascii="Times New Roman" w:cs="Times New Roman" w:eastAsia="Times New Roman" w:hAnsi="Times New Roman"/>
          <w:sz w:val="18"/>
          <w:szCs w:val="18"/>
          <w:color w:val="auto"/>
        </w:rPr>
      </w:pPr>
    </w:p>
    <w:p>
      <w:pPr>
        <w:ind w:right="100" w:firstLine="436"/>
        <w:spacing w:after="0" w:line="282" w:lineRule="auto"/>
        <w:tabs>
          <w:tab w:leader="none" w:pos="7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shall be of the essence of this Agreement. As used herein, the term “business day” shall mean any day when the Commission’s office in Washington, D.C. is open for business.</w:t>
      </w:r>
    </w:p>
    <w:p>
      <w:pPr>
        <w:spacing w:after="0" w:line="161" w:lineRule="exact"/>
        <w:rPr>
          <w:rFonts w:ascii="Times New Roman" w:cs="Times New Roman" w:eastAsia="Times New Roman" w:hAnsi="Times New Roman"/>
          <w:sz w:val="18"/>
          <w:szCs w:val="18"/>
          <w:color w:val="auto"/>
        </w:rPr>
      </w:pPr>
    </w:p>
    <w:p>
      <w:pPr>
        <w:ind w:firstLine="436"/>
        <w:spacing w:after="0" w:line="253" w:lineRule="auto"/>
        <w:tabs>
          <w:tab w:leader="none" w:pos="7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Selling Stockholders acknowledge and agree that (i) the purchase and sale of the Securities pursuant to this Agreement is an arm’s-length commercial transaction between the Company and the Selling Stockholders, on the one hand, and the several Underwriters, on the other, (ii) in connection therewith and with the process leading to such transaction each Underwriter is acting solely as a principal and not the agent or fiduciary of the Company or any Selling Stockholder, (iii) no Underwriter has assumed an advisory or fiduciary responsibility in favor of the Company or any Selling Stockholder with respect to the offering contemplated hereby or the process leading thereto (irrespective of whether such Underwriter has advised or is currently advising the Company or any Selling Stockholder on other matters) or any other obligation to the Company or any Selling Stockholder except the obligations expressly set forth in this Agreement, (iv) the Company and each Selling Stockholder has consulted its own legal and financial advisors to the extent it deemed appropriate, and (v) none of the activities of the Underwriters in connection with the transactions contemplated herein constitutes a recommendation, investment advice, or solicitation of any action by the Underwriters with respect to any entity or natural person. The Company and each Selling Stockholder agree that it will not claim that the Underwriters, or any of them, has rendered advisory services of any nature or respect, or owes a fiduciary or similar duty to the Company or any Selling Stockholder, in connection with such transaction or the process leading thereto.</w:t>
      </w:r>
    </w:p>
    <w:p>
      <w:pPr>
        <w:spacing w:after="0" w:line="189" w:lineRule="exact"/>
        <w:rPr>
          <w:rFonts w:ascii="Times New Roman" w:cs="Times New Roman" w:eastAsia="Times New Roman" w:hAnsi="Times New Roman"/>
          <w:sz w:val="18"/>
          <w:szCs w:val="18"/>
          <w:color w:val="auto"/>
        </w:rPr>
      </w:pPr>
    </w:p>
    <w:p>
      <w:pPr>
        <w:ind w:right="140" w:firstLine="436"/>
        <w:spacing w:after="0" w:line="282" w:lineRule="auto"/>
        <w:tabs>
          <w:tab w:leader="none" w:pos="7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supersedes all prior agreements and understandings (whether written or oral) among the Company, the Selling Stockholders, and the Underwriters, or any of them, with respect to the subject matter hereof.</w:t>
      </w:r>
    </w:p>
    <w:p>
      <w:pPr>
        <w:spacing w:after="0" w:line="157" w:lineRule="exact"/>
        <w:rPr>
          <w:rFonts w:ascii="Times New Roman" w:cs="Times New Roman" w:eastAsia="Times New Roman" w:hAnsi="Times New Roman"/>
          <w:sz w:val="18"/>
          <w:szCs w:val="18"/>
          <w:color w:val="auto"/>
        </w:rPr>
      </w:pPr>
    </w:p>
    <w:p>
      <w:pPr>
        <w:ind w:firstLine="436"/>
        <w:spacing w:after="0" w:line="256" w:lineRule="auto"/>
        <w:tabs>
          <w:tab w:leader="none" w:pos="7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results in the application of any other law than the laws of the State of New York. The Company and each Selling Stockholder agree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and each Selling Stockholder agree to submit to the jurisdiction of, and to venue in, such courts.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39" w:name="page40"/>
    <w:bookmarkEnd w:id="39"/>
    <w:p>
      <w:pPr>
        <w:ind w:left="-20" w:right="80" w:firstLine="436"/>
        <w:spacing w:after="0" w:line="312" w:lineRule="auto"/>
        <w:tabs>
          <w:tab w:leader="none" w:pos="69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each Selling Stockholder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39" w:lineRule="exact"/>
        <w:rPr>
          <w:rFonts w:ascii="Times New Roman" w:cs="Times New Roman" w:eastAsia="Times New Roman" w:hAnsi="Times New Roman"/>
          <w:sz w:val="17"/>
          <w:szCs w:val="17"/>
          <w:color w:val="auto"/>
        </w:rPr>
      </w:pPr>
    </w:p>
    <w:p>
      <w:pPr>
        <w:ind w:left="-20" w:right="20" w:firstLine="436"/>
        <w:spacing w:after="0" w:line="258" w:lineRule="auto"/>
        <w:tabs>
          <w:tab w:leader="none" w:pos="69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any one or more of the parties hereto in any number of counterparts, each of which shall be deemed to be an original, but all such respective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left="-20" w:right="60" w:firstLine="436"/>
        <w:spacing w:after="0" w:line="256" w:lineRule="auto"/>
        <w:tabs>
          <w:tab w:leader="none" w:pos="69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and the Selling Stockholders are authorized to disclose to any persons the U.S. federal and state income tax treatment and tax structure of the potential transaction and all materials of any kind (including tax opinions and other tax analyses) provided to the Company and the Selling Stockholders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87"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the U.S. Special Resolution Regimes.</w:t>
      </w:r>
    </w:p>
    <w:p>
      <w:pPr>
        <w:spacing w:after="0" w:line="225" w:lineRule="exact"/>
        <w:rPr>
          <w:sz w:val="20"/>
          <w:szCs w:val="20"/>
          <w:color w:val="auto"/>
        </w:rPr>
      </w:pPr>
    </w:p>
    <w:p>
      <w:pPr>
        <w:ind w:left="-20" w:right="40" w:firstLine="436"/>
        <w:spacing w:after="0" w:line="261" w:lineRule="auto"/>
        <w:tabs>
          <w:tab w:leader="none" w:pos="6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20" w:firstLine="436"/>
        <w:spacing w:after="0" w:line="261" w:lineRule="auto"/>
        <w:tabs>
          <w:tab w:leader="none" w:pos="67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0"/>
          </w:cols>
          <w:pgMar w:left="460" w:top="270" w:right="479" w:bottom="1440" w:gutter="0" w:footer="0" w:header="0"/>
        </w:sectPr>
      </w:pPr>
    </w:p>
    <w:bookmarkStart w:id="40" w:name="page41"/>
    <w:bookmarkEnd w:id="40"/>
    <w:p>
      <w:pPr>
        <w:ind w:left="660" w:hanging="224"/>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41" w:name="page42"/>
    <w:bookmarkEnd w:id="41"/>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please sign and return to us counterparts hereof, and upon the acceptance hereof by you, on behalf of each of the Underwriters, this letter and such acceptance hereof shall constitute a binding agreement among each of the Underwriters, the Company and the Selling Stockholders.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Russell Burke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000"/>
          </w:cols>
          <w:pgMar w:left="440" w:top="270" w:right="459" w:bottom="1440" w:gutter="0" w:footer="0" w:header="0"/>
        </w:sectPr>
      </w:pPr>
    </w:p>
    <w:bookmarkStart w:id="42" w:name="page43"/>
    <w:bookmarkEnd w:id="42"/>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person executing and delivering this Agreement as Attorney-in-Fact for a Selling Stockholder represents by so doing that he has been duly appointed as Attorney-in-Fact by such Selling Stockholder pursuant to a validly existing and binding Power-of-Attorney that authorizes such Attorney-in-Fact to take such action.</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Russell Burke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As Attorney-in-Fact, acting severally, on behalf of each</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of the Selling Stockholders named in Schedule II to this</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Agreement.</w:t>
      </w:r>
    </w:p>
    <w:p>
      <w:pPr>
        <w:sectPr>
          <w:pgSz w:w="11900" w:h="16838" w:orient="portrait"/>
          <w:cols w:equalWidth="0" w:num="1">
            <w:col w:w="11000"/>
          </w:cols>
          <w:pgMar w:left="440" w:top="270"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the date 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Goldman Sachs &amp; Co.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William Connolly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William Connolly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Evercore Group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Scuorzo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John Scuorzo</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UBS Securities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Daniel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Daniel Katz</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Garrett Loeffelman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Garrett Loeffelman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Associate Director</w:t>
      </w:r>
    </w:p>
    <w:p>
      <w:pPr>
        <w:spacing w:after="0" w:line="207" w:lineRule="exact"/>
        <w:rPr>
          <w:sz w:val="20"/>
          <w:szCs w:val="20"/>
          <w:color w:val="auto"/>
        </w:rPr>
      </w:pPr>
    </w:p>
    <w:p>
      <w:pPr>
        <w:jc w:val="right"/>
        <w:ind w:right="6839"/>
        <w:spacing w:after="0"/>
        <w:rPr>
          <w:sz w:val="20"/>
          <w:szCs w:val="20"/>
          <w:color w:val="auto"/>
        </w:rPr>
      </w:pPr>
      <w:r>
        <w:rPr>
          <w:rFonts w:ascii="Times New Roman" w:cs="Times New Roman" w:eastAsia="Times New Roman" w:hAnsi="Times New Roman"/>
          <w:sz w:val="18"/>
          <w:szCs w:val="18"/>
          <w:color w:val="auto"/>
        </w:rPr>
        <w:t>On behalf of each of the Underwriters</w:t>
      </w:r>
    </w:p>
    <w:p>
      <w:pPr>
        <w:sectPr>
          <w:pgSz w:w="11900" w:h="16838" w:orient="portrait"/>
          <w:cols w:equalWidth="0" w:num="1">
            <w:col w:w="10019"/>
          </w:cols>
          <w:pgMar w:left="440" w:top="270" w:right="1440" w:bottom="1440" w:gutter="0" w:footer="0" w:header="0"/>
        </w:sectPr>
      </w:pPr>
    </w:p>
    <w:bookmarkStart w:id="44" w:name="page45"/>
    <w:bookmarkEnd w:id="4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Optional</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68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3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3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Purchased if</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7240" w:type="dxa"/>
            <w:vAlign w:val="bottom"/>
            <w:vMerge w:val="restart"/>
          </w:tcPr>
          <w:p>
            <w:pPr>
              <w:spacing w:after="0"/>
              <w:rPr>
                <w:sz w:val="12"/>
                <w:szCs w:val="12"/>
                <w:color w:val="auto"/>
              </w:rPr>
            </w:pPr>
          </w:p>
        </w:tc>
        <w:tc>
          <w:tcPr>
            <w:tcW w:w="168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Firm Securities</w:t>
            </w:r>
          </w:p>
        </w:tc>
        <w:tc>
          <w:tcPr>
            <w:tcW w:w="13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Maximum Option</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7240" w:type="dxa"/>
            <w:vAlign w:val="bottom"/>
            <w:vMerge w:val="continue"/>
          </w:tcPr>
          <w:p>
            <w:pPr>
              <w:spacing w:after="0"/>
              <w:rPr>
                <w:sz w:val="15"/>
                <w:szCs w:val="15"/>
                <w:color w:val="auto"/>
              </w:rPr>
            </w:pPr>
          </w:p>
        </w:tc>
        <w:tc>
          <w:tcPr>
            <w:tcW w:w="168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to be Purchased</w:t>
            </w:r>
          </w:p>
        </w:tc>
        <w:tc>
          <w:tcPr>
            <w:tcW w:w="132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Exercised</w:t>
            </w:r>
          </w:p>
        </w:tc>
        <w:tc>
          <w:tcPr>
            <w:tcW w:w="0" w:type="dxa"/>
            <w:vAlign w:val="bottom"/>
          </w:tcPr>
          <w:p>
            <w:pPr>
              <w:spacing w:after="0"/>
              <w:rPr>
                <w:sz w:val="1"/>
                <w:szCs w:val="1"/>
                <w:color w:val="auto"/>
              </w:rPr>
            </w:pPr>
          </w:p>
        </w:tc>
      </w:tr>
      <w:tr>
        <w:trPr>
          <w:trHeight w:val="203"/>
        </w:trPr>
        <w:tc>
          <w:tcPr>
            <w:tcW w:w="8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Goldman Sachs &amp; Co. LLC</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2,127,500</w:t>
            </w:r>
          </w:p>
        </w:tc>
        <w:tc>
          <w:tcPr>
            <w:tcW w:w="6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319,125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Evercore Group L.L.C.</w:t>
            </w: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1,265,000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189,750</w:t>
            </w: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16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1,035,000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155,250</w:t>
            </w: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575,000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86,250</w:t>
            </w: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Canaccord Genuity LLC</w:t>
            </w:r>
          </w:p>
        </w:tc>
        <w:tc>
          <w:tcPr>
            <w:tcW w:w="16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301,875</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45,281</w:t>
            </w: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Citizens JMP Securities, LLC</w:t>
            </w: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301,875</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45,281</w:t>
            </w: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16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143,750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21,563</w:t>
            </w:r>
          </w:p>
        </w:tc>
        <w:tc>
          <w:tcPr>
            <w:tcW w:w="0" w:type="dxa"/>
            <w:vAlign w:val="bottom"/>
          </w:tcPr>
          <w:p>
            <w:pPr>
              <w:spacing w:after="0"/>
              <w:rPr>
                <w:sz w:val="1"/>
                <w:szCs w:val="1"/>
                <w:color w:val="auto"/>
              </w:rPr>
            </w:pPr>
          </w:p>
        </w:tc>
      </w:tr>
      <w:tr>
        <w:trPr>
          <w:trHeight w:val="23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5,750,000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862,500</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45" w:name="page46"/>
    <w:bookmarkEnd w:id="4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92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Optional Shares to be Sold</w:t>
            </w:r>
          </w:p>
        </w:tc>
      </w:tr>
      <w:tr>
        <w:trPr>
          <w:trHeight w:val="148"/>
        </w:trPr>
        <w:tc>
          <w:tcPr>
            <w:tcW w:w="7400" w:type="dxa"/>
            <w:vAlign w:val="bottom"/>
          </w:tcPr>
          <w:p>
            <w:pPr>
              <w:spacing w:after="0"/>
              <w:rPr>
                <w:sz w:val="12"/>
                <w:szCs w:val="12"/>
                <w:color w:val="auto"/>
              </w:rPr>
            </w:pPr>
          </w:p>
        </w:tc>
        <w:tc>
          <w:tcPr>
            <w:tcW w:w="192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Firm Shares to be</w:t>
            </w:r>
          </w:p>
        </w:tc>
        <w:tc>
          <w:tcPr>
            <w:tcW w:w="1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if Maximum Option</w:t>
            </w:r>
          </w:p>
        </w:tc>
      </w:tr>
      <w:tr>
        <w:trPr>
          <w:trHeight w:val="173"/>
        </w:trPr>
        <w:tc>
          <w:tcPr>
            <w:tcW w:w="7400" w:type="dxa"/>
            <w:vAlign w:val="bottom"/>
          </w:tcPr>
          <w:p>
            <w:pPr>
              <w:spacing w:after="0"/>
              <w:rPr>
                <w:sz w:val="15"/>
                <w:szCs w:val="15"/>
                <w:color w:val="auto"/>
              </w:rPr>
            </w:pPr>
          </w:p>
        </w:tc>
        <w:tc>
          <w:tcPr>
            <w:tcW w:w="192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Sold</w:t>
            </w:r>
          </w:p>
        </w:tc>
        <w:tc>
          <w:tcPr>
            <w:tcW w:w="1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Exercised</w:t>
            </w:r>
          </w:p>
        </w:tc>
      </w:tr>
      <w:tr>
        <w:trPr>
          <w:trHeight w:val="209"/>
        </w:trPr>
        <w:tc>
          <w:tcPr>
            <w:tcW w:w="7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Company</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3,703,704</w:t>
            </w:r>
          </w:p>
        </w:tc>
        <w:tc>
          <w:tcPr>
            <w:tcW w:w="8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The Selling Stockholder(s)(a)</w:t>
            </w: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Alexander Haro</w:t>
            </w:r>
          </w:p>
        </w:tc>
        <w:tc>
          <w:tcPr>
            <w:tcW w:w="19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857,457</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362,580</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Anne Dawson</w:t>
            </w:r>
          </w:p>
        </w:tc>
        <w:tc>
          <w:tcPr>
            <w:tcW w:w="19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3,957</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1,673</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Bryant Stibel Growth, LLC</w:t>
            </w:r>
          </w:p>
        </w:tc>
        <w:tc>
          <w:tcPr>
            <w:tcW w:w="19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3,625</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1,532</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Charles Prober</w:t>
            </w:r>
          </w:p>
        </w:tc>
        <w:tc>
          <w:tcPr>
            <w:tcW w:w="19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263,803</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111,550</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Hulls</w:t>
            </w:r>
          </w:p>
        </w:tc>
        <w:tc>
          <w:tcPr>
            <w:tcW w:w="19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269,335</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113,890</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CP3 Investments LLC</w:t>
            </w:r>
          </w:p>
        </w:tc>
        <w:tc>
          <w:tcPr>
            <w:tcW w:w="19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28,179</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11,916</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Rice</w:t>
            </w:r>
          </w:p>
        </w:tc>
        <w:tc>
          <w:tcPr>
            <w:tcW w:w="19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36,125</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15,276</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David Wiadrowski</w:t>
            </w:r>
          </w:p>
        </w:tc>
        <w:tc>
          <w:tcPr>
            <w:tcW w:w="19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19,785</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8,366</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Goines Wong 1999 Living Trust</w:t>
            </w:r>
          </w:p>
        </w:tc>
        <w:tc>
          <w:tcPr>
            <w:tcW w:w="19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50,122</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21,195</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Heather Houston</w:t>
            </w:r>
          </w:p>
        </w:tc>
        <w:tc>
          <w:tcPr>
            <w:tcW w:w="19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6,595</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ICCA Labs, LLC</w:t>
            </w:r>
          </w:p>
        </w:tc>
        <w:tc>
          <w:tcPr>
            <w:tcW w:w="19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87,983</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37,206</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James Synge</w:t>
            </w:r>
          </w:p>
        </w:tc>
        <w:tc>
          <w:tcPr>
            <w:tcW w:w="19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158,396</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66,979</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Troutman</w:t>
            </w:r>
          </w:p>
        </w:tc>
        <w:tc>
          <w:tcPr>
            <w:tcW w:w="19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7,255</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3,067</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NMP Revocable Trust</w:t>
            </w:r>
          </w:p>
        </w:tc>
        <w:tc>
          <w:tcPr>
            <w:tcW w:w="19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5,636</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2,383</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Russell Burke</w:t>
            </w:r>
          </w:p>
        </w:tc>
        <w:tc>
          <w:tcPr>
            <w:tcW w:w="19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32,433</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13,715</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Steven Klinkner</w:t>
            </w:r>
          </w:p>
        </w:tc>
        <w:tc>
          <w:tcPr>
            <w:tcW w:w="19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6,595</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2,789</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Stibel &amp; Company II, LLC</w:t>
            </w:r>
          </w:p>
        </w:tc>
        <w:tc>
          <w:tcPr>
            <w:tcW w:w="19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112,716</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47,662</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TH Properties, LLC</w:t>
            </w:r>
          </w:p>
        </w:tc>
        <w:tc>
          <w:tcPr>
            <w:tcW w:w="19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5,636</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2,383</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Vanessa Bryant, Trustee Of The Vanessa Bryant Trust Dated April 9, 2003, As Amended</w:t>
            </w:r>
          </w:p>
        </w:tc>
        <w:tc>
          <w:tcPr>
            <w:tcW w:w="19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56,357</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23,831</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William Perry</w:t>
            </w:r>
          </w:p>
        </w:tc>
        <w:tc>
          <w:tcPr>
            <w:tcW w:w="19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851</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Tai</w:t>
            </w:r>
          </w:p>
        </w:tc>
        <w:tc>
          <w:tcPr>
            <w:tcW w:w="19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5,276</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2,231</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XVI Investments LLC</w:t>
            </w:r>
          </w:p>
        </w:tc>
        <w:tc>
          <w:tcPr>
            <w:tcW w:w="19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28,179</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11,916</w:t>
            </w:r>
          </w:p>
        </w:tc>
      </w:tr>
      <w:tr>
        <w:trPr>
          <w:trHeight w:val="216"/>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Stockholders’ Total</w:t>
            </w:r>
          </w:p>
        </w:tc>
        <w:tc>
          <w:tcPr>
            <w:tcW w:w="19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2,046,296</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862,500</w:t>
            </w:r>
          </w:p>
        </w:tc>
      </w:tr>
    </w:tbl>
    <w:p>
      <w:pPr>
        <w:spacing w:after="0" w:line="225" w:lineRule="exact"/>
        <w:rPr>
          <w:sz w:val="20"/>
          <w:szCs w:val="20"/>
          <w:color w:val="auto"/>
        </w:rPr>
      </w:pPr>
    </w:p>
    <w:p>
      <w:pPr>
        <w:ind w:left="424" w:right="400" w:hanging="424"/>
        <w:spacing w:after="0" w:line="282"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Selling Stockholders are represented by Whalen LLP, Newport Beach, CA, and have appointed Chris Hulls, Russell Burke, and Susan Stick and each of them, as the Attorneys-in-Fact for such Selling Stockholder.</w:t>
      </w:r>
    </w:p>
    <w:p>
      <w:pPr>
        <w:sectPr>
          <w:pgSz w:w="11900" w:h="16838" w:orient="portrait"/>
          <w:cols w:equalWidth="0" w:num="1">
            <w:col w:w="11024"/>
          </w:cols>
          <w:pgMar w:left="436" w:top="266" w:right="439" w:bottom="1440" w:gutter="0" w:footer="0" w:header="0"/>
        </w:sectPr>
      </w:pPr>
    </w:p>
    <w:bookmarkStart w:id="46" w:name="page47"/>
    <w:bookmarkEnd w:id="46"/>
    <w:p>
      <w:pPr>
        <w:ind w:left="48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256" w:lineRule="exact"/>
        <w:rPr>
          <w:sz w:val="20"/>
          <w:szCs w:val="20"/>
          <w:color w:val="auto"/>
        </w:rPr>
      </w:pPr>
    </w:p>
    <w:p>
      <w:pPr>
        <w:ind w:left="984" w:right="3759" w:hanging="984"/>
        <w:spacing w:after="0" w:line="383" w:lineRule="auto"/>
        <w:tabs>
          <w:tab w:leader="none" w:pos="42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Free Writing Prospectuses not included in the Pricing Disclosure Package: Electronic roadshow dated June 2024</w:t>
      </w:r>
    </w:p>
    <w:p>
      <w:pPr>
        <w:ind w:left="424" w:hanging="424"/>
        <w:spacing w:after="0"/>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30" w:lineRule="exact"/>
        <w:rPr>
          <w:rFonts w:ascii="Times New Roman" w:cs="Times New Roman" w:eastAsia="Times New Roman" w:hAnsi="Times New Roman"/>
          <w:sz w:val="18"/>
          <w:szCs w:val="18"/>
          <w:color w:val="auto"/>
        </w:rPr>
      </w:pPr>
    </w:p>
    <w:p>
      <w:pPr>
        <w:ind w:left="984" w:right="2959" w:hanging="984"/>
        <w:spacing w:after="0" w:line="375" w:lineRule="auto"/>
        <w:tabs>
          <w:tab w:leader="none" w:pos="42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other than the Pricing Prospectus that comprise the Pricing Disclosure Package: The initial public offering price per share for the Securities is $27.00</w:t>
      </w:r>
    </w:p>
    <w:p>
      <w:pPr>
        <w:spacing w:after="0" w:line="1" w:lineRule="exact"/>
        <w:rPr>
          <w:rFonts w:ascii="Times New Roman" w:cs="Times New Roman" w:eastAsia="Times New Roman" w:hAnsi="Times New Roman"/>
          <w:sz w:val="18"/>
          <w:szCs w:val="18"/>
          <w:color w:val="auto"/>
        </w:rPr>
      </w:pPr>
    </w:p>
    <w:p>
      <w:pPr>
        <w:ind w:left="984" w:right="3859"/>
        <w:spacing w:after="0" w:line="38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Firm Shares purchased by the Underwriters is 5,750,000 The Underwriters have the option to purchase 862,500 Option Shares</w:t>
      </w:r>
    </w:p>
    <w:p>
      <w:pPr>
        <w:ind w:left="424" w:hanging="424"/>
        <w:spacing w:after="0"/>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Testing-the-Waters Communications</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Testing-the-Waters Presentation dated May 2024</w:t>
      </w:r>
    </w:p>
    <w:p>
      <w:pPr>
        <w:sectPr>
          <w:pgSz w:w="11900" w:h="16838" w:orient="portrait"/>
          <w:cols w:equalWidth="0" w:num="1">
            <w:col w:w="10023"/>
          </w:cols>
          <w:pgMar w:left="436" w:top="266" w:right="1440"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Evercore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in Schedule I to the Underwriting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10282-2198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Evercore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East 52nd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10055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UBS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w:t>
      </w:r>
      <w:r>
        <w:rPr>
          <w:rFonts w:ascii="Times New Roman" w:cs="Times New Roman" w:eastAsia="Times New Roman" w:hAnsi="Times New Roman"/>
          <w:sz w:val="18"/>
          <w:szCs w:val="18"/>
          <w:u w:val="single" w:color="auto"/>
          <w:color w:val="auto"/>
        </w:rPr>
        <w:t>Life360,  Inc. - Lock-Up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undersigned understands that you, as representatives (the “Representatives”), propose to enter into an underwriting agreement (the “Underwriting Agreement”) on behalf of the several Underwriters named in Schedule I to such agreement (collectively, the “Underwriters”), with Life360, Inc., a Delaware corporation (the “Company”), providing for a public offering (the “Public Offering”) of shares (the “Shares”) of the common stock, par value $0.001 per share, of the Company (the “Common Stock”) pursuant to a Registration Statement on Form S-3 (the “Registration Statement”) to be filed with the Securities and Exchange Commission (the “SEC”).</w:t>
      </w:r>
    </w:p>
    <w:p>
      <w:pPr>
        <w:spacing w:after="0" w:line="183"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In consideration of the agreement by the Underwriters to offer and sell the Shares, and of other good and valuable consideration the receipt and sufficiency of which is hereby acknowledged, the undersigned agrees that, during the period beginning from the date of this Lock-Up Agreement and continuing to and including the date 90 days after the date of the final prospectus supplement relating to the Public Offering (the “Prospectus”) (such period, the “Lock-Up Period”), the undersigned shall not, and shall not cause or direct any of its affiliates to, (i) offer, sell, contract to sell, pledge, grant any option, right or warrant to purchase, purchase any option or contract to sell,</w:t>
      </w:r>
    </w:p>
    <w:p>
      <w:pPr>
        <w:sectPr>
          <w:pgSz w:w="11900" w:h="16838" w:orient="portrait"/>
          <w:cols w:equalWidth="0" w:num="1">
            <w:col w:w="11020"/>
          </w:cols>
          <w:pgMar w:left="440" w:top="266" w:right="439" w:bottom="1440" w:gutter="0" w:footer="0" w:header="0"/>
        </w:sectPr>
      </w:pPr>
    </w:p>
    <w:bookmarkStart w:id="48" w:name="page49"/>
    <w:bookmarkEnd w:id="48"/>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 or otherwise transfer or dispose of any shares of Common Stock, or any options or warrants to purchase any shares of Common Stock, or any CHESS Depositary Interests or any securities convertible into, exchangeable for or that represent the right to receive shares of Common Stock (such shares of Common Stock, options, rights, warrants or other securities, collectively, “Lock-Up Securities”), including without limitation any such Lock-Up Securities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(any such sale, loan, pledge or other disposition, or transfer of economic consequences, a “Transfer”), or (iii) otherwise publicly announce any intention to engage in or cause any action, activity, transaction or arrangement described in clause (i) or (ii) above, as applicable. The undersigned represents and warrants that the undersigned is not, and has not caused or directed any of its affiliates to be or become, currently a party to any agreement or arrangement that provides for, is designed to or reasonably could be expected to lead to or result in any Transfer during the Lock-Up Period.</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Notwithstanding the foregoing, the undersigned may:</w:t>
      </w:r>
    </w:p>
    <w:p>
      <w:pPr>
        <w:spacing w:after="0" w:line="250" w:lineRule="exact"/>
        <w:rPr>
          <w:sz w:val="20"/>
          <w:szCs w:val="20"/>
          <w:color w:val="auto"/>
        </w:rPr>
      </w:pPr>
    </w:p>
    <w:p>
      <w:pPr>
        <w:ind w:left="960" w:right="20" w:hanging="532"/>
        <w:spacing w:after="0" w:line="252"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 the undersigned’s Lock-Up Securities (i) as one or more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gifts or charitable contributions, or for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estate planning purposes, (ii) upon death by will, testamentary document or the laws of intestate succession, (iii) if the undersigned is a natural person, to any member of the undersigned’s immediate family (for purposes of this Lock-Up Agreement, “immediate family” shall mean any relationship by blood, current or former marriage, domestic partnership or adoption, not more remote than first cousin) or to any trust for the direct or indirect benefit of the undersigned or the immediate family of the undersigned or, if the undersigned is a trust, to a trustor or beneficiary of the trust or the estate of a beneficiary of such trust, (iv) to a corporation, partnership, limited liability company or other entity of which the undersigned and the immediate family of the undersigned are the legal and beneficial owner of all of the outstanding equity securities or similar interests, (v) to a nominee or custodian of a person or entity to whom a disposition or transfer would be permissible under clauses (a)(i) through (iv) above, (vi) if the undersigned is a corporation, partnership, limited liability company or other business entity, (A) to another corporation, partnership, limited liability company or other business entity that is an affiliate (as defined in Rule 405 under the Securities Act of 1933, as amended) of the undersigned, or to any investment fund or other entity which fund or entity is controlled or managed by the undersigned or affiliates of the undersigned, or (B) as part of a distribution by the undersigned to its stockholders, partners, members or other equityholders or to the estate of any such stockholders, partners, members or other equityholders,</w:t>
      </w:r>
    </w:p>
    <w:p>
      <w:pPr>
        <w:spacing w:after="0" w:line="3" w:lineRule="exact"/>
        <w:rPr>
          <w:rFonts w:ascii="Times New Roman" w:cs="Times New Roman" w:eastAsia="Times New Roman" w:hAnsi="Times New Roman"/>
          <w:sz w:val="18"/>
          <w:szCs w:val="18"/>
          <w:color w:val="auto"/>
        </w:rPr>
      </w:pPr>
    </w:p>
    <w:p>
      <w:pPr>
        <w:ind w:left="1320" w:hanging="352"/>
        <w:spacing w:after="0"/>
        <w:tabs>
          <w:tab w:leader="none" w:pos="13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divorce settlement, divorce decree or separation agreement,</w:t>
      </w:r>
    </w:p>
    <w:p>
      <w:pPr>
        <w:spacing w:after="0" w:line="9" w:lineRule="exact"/>
        <w:rPr>
          <w:rFonts w:ascii="Times New Roman" w:cs="Times New Roman" w:eastAsia="Times New Roman" w:hAnsi="Times New Roman"/>
          <w:sz w:val="18"/>
          <w:szCs w:val="18"/>
          <w:color w:val="auto"/>
        </w:rPr>
      </w:pPr>
    </w:p>
    <w:p>
      <w:pPr>
        <w:ind w:left="960" w:firstLine="8"/>
        <w:spacing w:after="0" w:line="253" w:lineRule="auto"/>
        <w:tabs>
          <w:tab w:leader="none" w:pos="136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(A) from an employee of the Company upon death, disability or termination of employment, in each case, of such employee or (B) pursuant to agreements under which the Company has (1) the option to repurchase such securities or (2) a right of first refusal with respect to transfers of such securities upon termination of service of the undersigned, (ix) if the undersigned is not an officer or director of the Company, in connection with a sale of the undersigned’s shares of Common Stock acquired (A) from the Underwriters in the Public Offering or (B) in open market transactions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9" w:name="page50"/>
    <w:bookmarkEnd w:id="49"/>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closing date of the Public Offering, (x) to the Company in connection with the vesting, settlement or exercise of restricted stock units (“RSUs”), restricted stock, options, warrants or other rights to purchase shares of Common Stock (including, in each case, by way of “net” or “cashless” exercise), including any transfer to the Company for the payment of tax withholdings or remittance payments due as a result of the vesting, settlement or exercise of such RSUs, restricted stock, options, warrants or other rights, or in connection with the conversion or exchange of convertible or exchangeable securities of the Company or any of its subsidiaries, and any transfer necessary to generate such amount of cash needed for the payment of taxes, including estimated taxes, due as a result of the vesting or settlement of RSUs whether by means of a “net settlement” or otherwise, in all such cases pursuant to equity awards granted under a stock incentive plan or other equity award plan or arrangement, or pursuant to the terms of convertible or exchangeable securities, as applicable, each as described in the Registration Statement, the preliminary prospectus relating to the Shares included in the Registration Statement immediately prior to the time the Underwriting Agreement is executed, the Prospectus or in the documents incorporated by reference therein, provided that any securities received upon such vesting, settlement, exercise or conversion that are not transferred to cover any such tax obligations shall be subject to the terms of this Lock-Up Agreement, (xi) in connection with the sale or other transfer of the undersigned’s shares of Common Stock to satisfy any tax obligations or payments due as a result of (A) if the undersigned’s employment with the Company has terminated as of the date hereof, the exercise of stock options that will expire during the Lock-Up Period or (B) the settlement of RSUs pursuant to awards granted under a stock incentive plan or other equity award plan or arrangement described in the Prospectus, provided that, in each case, any securities received upon such exercise or settlement that are not transferred to cover any such tax obligations shall be subject to the terms of this Lock-Up Agreement; (xii) in connection with the termination of employment of an employee of the Company or any of its subsidiaries, including following voluntary resignation of such employee, if disposition of such Lock-Up Securities is determined by the Company to be required under applicable law, (xiii) to the Company in connection with the conversion, exchange or reclassification of the outstanding equity securities of the Company into shares of Common Stock, or any reclassification, exchange or conversion of the Common Stock, in each case as described and as contemplated in the Prospectus, provided that any such shares of Common Stock received upon such conversion, exchange or reclassification shall be subject to the terms of</w:t>
      </w:r>
    </w:p>
    <w:p>
      <w:pPr>
        <w:spacing w:after="0" w:line="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 xml:space="preserve">this Lock-Up Agreement; and (xiv) with the prior written consent of Goldman Sachs &amp; Co. LLC on behalf of the Underwriters;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in the case of clauses (a)(i), (ii), (iii), (iv), (v) and (vi) above, such transfer or distribution shall not involve a disposition for value,</w:t>
      </w:r>
    </w:p>
    <w:p>
      <w:pPr>
        <w:jc w:val="both"/>
        <w:ind w:right="80" w:firstLine="1"/>
        <w:spacing w:after="0" w:line="250" w:lineRule="auto"/>
        <w:tabs>
          <w:tab w:leader="none" w:pos="2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clauses (a)(i), (ii), (iii), (iv), (v), (vi) and (vii) above, it shall be a condition to the transfer or distribution that the donee, devisee, transferee or distributee, as the case may be, shall sign and deliver a lock-up agreement in the form of this Lock-Up Agreement,</w:t>
      </w:r>
    </w:p>
    <w:p>
      <w:pPr>
        <w:ind w:right="40" w:firstLine="1"/>
        <w:spacing w:after="0" w:line="252" w:lineRule="auto"/>
        <w:tabs>
          <w:tab w:leader="none" w:pos="2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clauses (a) (iv) and (vi) above, no filing by any party (including, without limitation, any donor, donee, devisee, transferor, transferee, distributor or distributee) under the Securities Exchange Act of 1934, as amended (the “Exchange Act”), or other public filing, report or announcement reporting a reduction in beneficial ownership of Lock-Up Securities shall be required or shall be voluntarily made in connection with such transfer or distribution, and (D) in the case of clauses (a)(i), (ii), (iii), (v), (vii), (viii), (ix), (x), (xi) and (xii)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the circumstances of such transfer or distribution;</w:t>
      </w:r>
    </w:p>
    <w:p>
      <w:pPr>
        <w:spacing w:after="0" w:line="1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960"/>
          </w:cols>
          <w:pgMar w:left="1420" w:top="270" w:right="519" w:bottom="1440" w:gutter="0" w:footer="0" w:header="0"/>
        </w:sectPr>
      </w:pPr>
    </w:p>
    <w:bookmarkStart w:id="50" w:name="page51"/>
    <w:bookmarkEnd w:id="50"/>
    <w:p>
      <w:pPr>
        <w:ind w:left="1420" w:right="60" w:hanging="439"/>
        <w:spacing w:after="0" w:line="255" w:lineRule="auto"/>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enter into or amend a written plan meeting the requirements of Rule 10b5-1 under the Exchange Act relating to the transfer, sale or other disposition of the undersigned’s Lock-Up Securities, if then permitted by the Company, provided that (i) none of the Lock-Up Securities subject to such plan may be transferred, sold or otherwise disposed of until after the expiration of the Lock-Up Period and (ii) any public announcement, report or filing under the Exchange Act, or any other public filing, report or announcement, regarding the establishment or amendment of such plan during the Lock-Up Period shall include a statement that the undersigned is not permitted to transfer, sell or otherwise dispose of the securities under such plan during the Lock-Up Period in contravention of this Lock-Up Agreement;</w:t>
      </w:r>
    </w:p>
    <w:p>
      <w:pPr>
        <w:spacing w:after="0" w:line="215" w:lineRule="exact"/>
        <w:rPr>
          <w:rFonts w:ascii="Times New Roman" w:cs="Times New Roman" w:eastAsia="Times New Roman" w:hAnsi="Times New Roman"/>
          <w:sz w:val="18"/>
          <w:szCs w:val="18"/>
          <w:color w:val="auto"/>
        </w:rPr>
      </w:pPr>
    </w:p>
    <w:p>
      <w:pPr>
        <w:ind w:left="1420" w:hanging="439"/>
        <w:spacing w:after="0" w:line="254" w:lineRule="auto"/>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undersigned’s Lock-Up Securities pursuant to a bona fide third-party tender offer, merger, consolidation or other similar transaction that is approved by the Board of Directors of the Company and made to all holders of the Company’s capital stock involving a Change of Control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undersigned’s Lock-Up Securities shall remain subject to the provisions of this Lock-Up Agreement; and</w:t>
      </w:r>
    </w:p>
    <w:p>
      <w:pPr>
        <w:spacing w:after="0" w:line="218"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the Shares to be sold by the undersigned pursuant to the terms of the Underwriting Agreement.</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the undersigned further agrees that the foregoing provisions shall be equally applicable to any issuer-directed or other Shares the undersigned may purchase in the Public Offering.</w:t>
      </w:r>
    </w:p>
    <w:p>
      <w:pPr>
        <w:spacing w:after="0" w:line="162" w:lineRule="exact"/>
        <w:rPr>
          <w:sz w:val="20"/>
          <w:szCs w:val="20"/>
          <w:color w:val="auto"/>
        </w:rPr>
      </w:pPr>
    </w:p>
    <w:p>
      <w:pPr>
        <w:jc w:val="both"/>
        <w:ind w:right="380" w:firstLine="440"/>
        <w:spacing w:after="0" w:line="261" w:lineRule="auto"/>
        <w:rPr>
          <w:sz w:val="20"/>
          <w:szCs w:val="20"/>
          <w:color w:val="auto"/>
        </w:rPr>
      </w:pPr>
      <w:r>
        <w:rPr>
          <w:rFonts w:ascii="Times New Roman" w:cs="Times New Roman" w:eastAsia="Times New Roman" w:hAnsi="Times New Roman"/>
          <w:sz w:val="18"/>
          <w:szCs w:val="18"/>
          <w:color w:val="auto"/>
        </w:rPr>
        <w:t>If the undersigned is not a natural person, the undersigned represents and warrants that no single natural person, entity or “group” (within the meaning of Section 13(d)(3) of the Exchange Act),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(i) Goldman Sachs &amp; Co. LLC agrees that, at least three business days before the effective date of any release or waiver of the foregoing restrictions in connection with a transfer of shares of Common Stock, Goldman Sachs &amp; Co. LLC will notify the Company of the impending release or waiver, and (ii) the Company has agreed in the Underwriting Agreement to announce the impending release or waiver by press release through a major news service (or such other method approved by Goldman Sachs &amp; Co. LLC that satisfies the requirements of FINRA Rule 5131(d)(2)) at least two business days before the effective date of the release or waiver. Any release or waiver granted by Goldman Sachs &amp; Co. LLC hereunder to any such officer or director shall only be effective two business days after the publication date of such press release. The provisions of this paragraph will not apply if (i) the release or waiver is effected solely to permit a transfer not for consideration or that is to an immediate family member as defined in FINRA Rule 5130(i)(5) and (ii) the transferee has agreed in writing to be bound by the same terms described in this Lock-Up Agreement to the extent and for the duration that such terms remain in effect at the time of the transfer.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51" w:name="page52"/>
    <w:bookmarkEnd w:id="51"/>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now has, and, except as contemplated by clauses (a) and (c) of the third paragraph of this Lock-Up Agreement, for the duration of this Lock-Up Agreement will have, good and marketable title to the undersigned’s Lock-Up Securities, free and clear of all liens, encumbrances and claims whatsoever. The undersigned also agrees and consents to the entry of stop transfer instructions with the Company’s transfer agent and registrar against the transfer of the undersigned’s Lock-Up Securities except in compliance with the foregoing restrictions.</w:t>
      </w:r>
    </w:p>
    <w:p>
      <w:pPr>
        <w:spacing w:after="0" w:line="180"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 The undersigned further acknowledges and agrees that, although the Underwriters may have provided or hereafter provide to the undersigned in connection with the Public Offering a Form CRS and/or certain other disclosures as contemplated by Regulation Best Interest, the Underwriters have not made and are not making a recommendation to the undersigned to enter into this Lock-Up Agreement or to transfer, sell or dispose of, or to refrain from transferring, selling or disposing of, any shares of Common Stock, and nothing set forth in such disclosures or herein is intended to suggest that any Underwriter is making such a recommendation.</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This Lock-Up Agreement shall automatically terminate and the undersigned shall be released from all of his, her or its obligations hereunder upon the earlier of (i) the date on which the Registration Statement filed with the SEC with respect to the Public Offering is withdrawn, (ii) the date on which for any reason the Underwriting Agreement is terminated (other than the provisions thereof that survive termination) prior to payment for and delivery of the Shares to be sold thereunder (other than pursuant to the Underwriters’ option thereunder to purchase additional Shares), (iii) the date on which the Company notifies the Representatives, in writing and prior to the execution of the Underwriting Agreement, that it does not intend to proceed with the Public Offering and (iv) June 30, 2024, in the event that the Underwriting Agreement has not been executed by such date (provided, however, that the Company may, by written notice to the undersigned prior to such date, extend such date by a period of up to an additional 90 days).</w:t>
      </w:r>
    </w:p>
    <w:p>
      <w:pPr>
        <w:spacing w:after="0" w:line="18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 The undersigned hereby represents and warrants that the undersigned has full power and authority to enter into this Lock-Up Agreement. This Lock-Up Agreement and any claim, controversy or dispute arising under or related to this Lock-Up Agreement shall be governed by, and construed in accordance with, the laws of the State of New York, without regard to principles of conflict of laws that would result in the application of any law other than the laws of the State of New York. 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AN INDIVIDUAL: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17145</wp:posOffset>
            </wp:positionV>
            <wp:extent cx="28028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4" w:lineRule="exact"/>
        <w:rPr>
          <w:sz w:val="20"/>
          <w:szCs w:val="20"/>
          <w:color w:val="auto"/>
        </w:rPr>
      </w:pPr>
    </w:p>
    <w:p>
      <w:pPr>
        <w:jc w:val="right"/>
        <w:ind w:right="1580"/>
        <w:spacing w:after="0"/>
        <w:tabs>
          <w:tab w:leader="none" w:pos="3620" w:val="left"/>
        </w:tabs>
        <w:rPr>
          <w:sz w:val="20"/>
          <w:szCs w:val="20"/>
          <w:color w:val="auto"/>
        </w:rPr>
      </w:pPr>
      <w:r>
        <w:rPr>
          <w:rFonts w:ascii="Times New Roman" w:cs="Times New Roman" w:eastAsia="Times New Roman" w:hAnsi="Times New Roman"/>
          <w:sz w:val="18"/>
          <w:szCs w:val="18"/>
          <w:i w:val="1"/>
          <w:iCs w:val="1"/>
          <w:color w:val="auto"/>
        </w:rPr>
        <w:t> </w:t>
      </w:r>
      <w:r>
        <w:rPr>
          <w:sz w:val="20"/>
          <w:szCs w:val="20"/>
          <w:color w:val="auto"/>
        </w:rPr>
        <w:tab/>
      </w:r>
      <w:r>
        <w:rPr>
          <w:rFonts w:ascii="Times New Roman" w:cs="Times New Roman" w:eastAsia="Times New Roman" w:hAnsi="Times New Roman"/>
          <w:sz w:val="17"/>
          <w:szCs w:val="17"/>
          <w:i w:val="1"/>
          <w:iCs w:val="1"/>
          <w:color w:val="auto"/>
        </w:rPr>
        <w:t>  (duly authorized signature)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17145</wp:posOffset>
            </wp:positionV>
            <wp:extent cx="28028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4" w:lineRule="exact"/>
        <w:rPr>
          <w:sz w:val="20"/>
          <w:szCs w:val="20"/>
          <w:color w:val="auto"/>
        </w:rPr>
      </w:pPr>
    </w:p>
    <w:p>
      <w:pPr>
        <w:ind w:left="780"/>
        <w:spacing w:after="0"/>
        <w:tabs>
          <w:tab w:leader="none" w:pos="940" w:val="left"/>
        </w:tabs>
        <w:rPr>
          <w:sz w:val="20"/>
          <w:szCs w:val="20"/>
          <w:color w:val="auto"/>
        </w:rPr>
      </w:pPr>
      <w:r>
        <w:rPr>
          <w:rFonts w:ascii="Times New Roman" w:cs="Times New Roman" w:eastAsia="Times New Roman" w:hAnsi="Times New Roman"/>
          <w:sz w:val="18"/>
          <w:szCs w:val="18"/>
          <w:i w:val="1"/>
          <w:iCs w:val="1"/>
          <w:color w:val="auto"/>
        </w:rPr>
        <w:t> </w:t>
      </w:r>
      <w:r>
        <w:rPr>
          <w:sz w:val="20"/>
          <w:szCs w:val="20"/>
          <w:color w:val="auto"/>
        </w:rPr>
        <w:tab/>
      </w:r>
      <w:r>
        <w:rPr>
          <w:rFonts w:ascii="Times New Roman" w:cs="Times New Roman" w:eastAsia="Times New Roman" w:hAnsi="Times New Roman"/>
          <w:sz w:val="17"/>
          <w:szCs w:val="17"/>
          <w:i w:val="1"/>
          <w:iCs w:val="1"/>
          <w:color w:val="auto"/>
        </w:rPr>
        <w:t>  (please print full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 xml:space="preserve">    </w:t>
      </w:r>
      <w:r>
        <w:rPr>
          <w:sz w:val="20"/>
          <w:szCs w:val="20"/>
          <w:color w:val="auto"/>
        </w:rPr>
        <w:tab/>
      </w:r>
      <w:r>
        <w:rPr>
          <w:rFonts w:ascii="Times New Roman" w:cs="Times New Roman" w:eastAsia="Times New Roman" w:hAnsi="Times New Roman"/>
          <w:sz w:val="17"/>
          <w:szCs w:val="17"/>
          <w:b w:val="1"/>
          <w:bCs w:val="1"/>
          <w:color w:val="auto"/>
        </w:rPr>
        <w:t>IF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-502285</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294005</wp:posOffset>
            </wp:positionV>
            <wp:extent cx="32746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(please print complete name of entity)</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17145</wp:posOffset>
            </wp:positionV>
            <wp:extent cx="27946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4" w:lineRule="exact"/>
        <w:rPr>
          <w:sz w:val="20"/>
          <w:szCs w:val="20"/>
          <w:color w:val="auto"/>
        </w:rPr>
      </w:pPr>
    </w:p>
    <w:p>
      <w:pPr>
        <w:jc w:val="right"/>
        <w:ind w:right="1179"/>
        <w:spacing w:after="0"/>
        <w:tabs>
          <w:tab w:leader="none" w:pos="2020" w:val="left"/>
        </w:tabs>
        <w:rPr>
          <w:sz w:val="20"/>
          <w:szCs w:val="20"/>
          <w:color w:val="auto"/>
        </w:rPr>
      </w:pPr>
      <w:r>
        <w:rPr>
          <w:rFonts w:ascii="Times New Roman" w:cs="Times New Roman" w:eastAsia="Times New Roman" w:hAnsi="Times New Roman"/>
          <w:sz w:val="18"/>
          <w:szCs w:val="18"/>
          <w:i w:val="1"/>
          <w:iCs w:val="1"/>
          <w:color w:val="auto"/>
        </w:rPr>
        <w:t> </w:t>
      </w:r>
      <w:r>
        <w:rPr>
          <w:sz w:val="20"/>
          <w:szCs w:val="20"/>
          <w:color w:val="auto"/>
        </w:rPr>
        <w:tab/>
      </w:r>
      <w:r>
        <w:rPr>
          <w:rFonts w:ascii="Times New Roman" w:cs="Times New Roman" w:eastAsia="Times New Roman" w:hAnsi="Times New Roman"/>
          <w:sz w:val="17"/>
          <w:szCs w:val="17"/>
          <w:i w:val="1"/>
          <w:iCs w:val="1"/>
          <w:color w:val="auto"/>
        </w:rPr>
        <w:t>  (duly authorized signature)</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17145</wp:posOffset>
            </wp:positionV>
            <wp:extent cx="27946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4" w:lineRule="exact"/>
        <w:rPr>
          <w:sz w:val="20"/>
          <w:szCs w:val="20"/>
          <w:color w:val="auto"/>
        </w:rPr>
      </w:pPr>
    </w:p>
    <w:p>
      <w:pPr>
        <w:ind w:left="1300"/>
        <w:spacing w:after="0"/>
        <w:tabs>
          <w:tab w:leader="none" w:pos="1460" w:val="left"/>
        </w:tabs>
        <w:rPr>
          <w:sz w:val="20"/>
          <w:szCs w:val="20"/>
          <w:color w:val="auto"/>
        </w:rPr>
      </w:pPr>
      <w:r>
        <w:rPr>
          <w:rFonts w:ascii="Times New Roman" w:cs="Times New Roman" w:eastAsia="Times New Roman" w:hAnsi="Times New Roman"/>
          <w:sz w:val="18"/>
          <w:szCs w:val="18"/>
          <w:i w:val="1"/>
          <w:iCs w:val="1"/>
          <w:color w:val="auto"/>
        </w:rPr>
        <w:t> </w:t>
      </w:r>
      <w:r>
        <w:rPr>
          <w:sz w:val="20"/>
          <w:szCs w:val="20"/>
          <w:color w:val="auto"/>
        </w:rPr>
        <w:tab/>
      </w:r>
      <w:r>
        <w:rPr>
          <w:rFonts w:ascii="Times New Roman" w:cs="Times New Roman" w:eastAsia="Times New Roman" w:hAnsi="Times New Roman"/>
          <w:sz w:val="17"/>
          <w:szCs w:val="17"/>
          <w:i w:val="1"/>
          <w:iCs w:val="1"/>
          <w:color w:val="auto"/>
        </w:rPr>
        <w:t>  (please print full name)</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17145</wp:posOffset>
            </wp:positionV>
            <wp:extent cx="27946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4" w:lineRule="exact"/>
        <w:rPr>
          <w:sz w:val="20"/>
          <w:szCs w:val="20"/>
          <w:color w:val="auto"/>
        </w:rPr>
      </w:pPr>
    </w:p>
    <w:p>
      <w:pPr>
        <w:ind w:left="1300"/>
        <w:spacing w:after="0"/>
        <w:tabs>
          <w:tab w:leader="none" w:pos="1460" w:val="left"/>
        </w:tabs>
        <w:rPr>
          <w:sz w:val="20"/>
          <w:szCs w:val="20"/>
          <w:color w:val="auto"/>
        </w:rPr>
      </w:pPr>
      <w:r>
        <w:rPr>
          <w:rFonts w:ascii="Times New Roman" w:cs="Times New Roman" w:eastAsia="Times New Roman" w:hAnsi="Times New Roman"/>
          <w:sz w:val="18"/>
          <w:szCs w:val="18"/>
          <w:i w:val="1"/>
          <w:iCs w:val="1"/>
          <w:color w:val="auto"/>
        </w:rPr>
        <w:t> </w:t>
      </w:r>
      <w:r>
        <w:rPr>
          <w:sz w:val="20"/>
          <w:szCs w:val="20"/>
          <w:color w:val="auto"/>
        </w:rPr>
        <w:tab/>
      </w:r>
      <w:r>
        <w:rPr>
          <w:rFonts w:ascii="Times New Roman" w:cs="Times New Roman" w:eastAsia="Times New Roman" w:hAnsi="Times New Roman"/>
          <w:sz w:val="17"/>
          <w:szCs w:val="17"/>
          <w:i w:val="1"/>
          <w:iCs w:val="1"/>
          <w:color w:val="auto"/>
        </w:rPr>
        <w:t>  (please print full title)</w:t>
      </w:r>
    </w:p>
    <w:p>
      <w:pPr>
        <w:sectPr>
          <w:pgSz w:w="11900" w:h="16838" w:orient="portrait"/>
          <w:cols w:equalWidth="0" w:num="2">
            <w:col w:w="4600" w:space="720"/>
            <w:col w:w="4699"/>
          </w:cols>
          <w:pgMar w:left="440" w:top="270"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PRESS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3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b w:val="1"/>
          <w:bCs w:val="1"/>
          <w:color w:val="auto"/>
        </w:rPr>
        <w:t>[</w:t>
        <w:tab/>
        <w:t>], 202[ ]</w:t>
      </w:r>
    </w:p>
    <w:p>
      <w:pPr>
        <w:spacing w:after="0" w:line="234" w:lineRule="exact"/>
        <w:rPr>
          <w:sz w:val="20"/>
          <w:szCs w:val="20"/>
          <w:color w:val="auto"/>
        </w:rPr>
      </w:pPr>
    </w:p>
    <w:p>
      <w:pPr>
        <w:ind w:right="140"/>
        <w:spacing w:after="0" w:line="292" w:lineRule="auto"/>
        <w:rPr>
          <w:sz w:val="20"/>
          <w:szCs w:val="20"/>
          <w:color w:val="auto"/>
        </w:rPr>
      </w:pPr>
      <w:r>
        <w:rPr>
          <w:rFonts w:ascii="Times New Roman" w:cs="Times New Roman" w:eastAsia="Times New Roman" w:hAnsi="Times New Roman"/>
          <w:sz w:val="18"/>
          <w:szCs w:val="18"/>
          <w:color w:val="auto"/>
        </w:rPr>
        <w:t>Life360, Inc. (the “Company”) announced today that Goldman Sachs &amp; Co. LLC, one of the book-running managers in the recent public sale of [ ] shares of the Company’s common stock, is [waiving] [releasing] a lock-up restriction with respect to [ ] shares of the Company’s common stock held by [certain officers or directors] [an officer or director] of the Company. The [waiver] [release] will take effect on [ ], 202[ ], and the shares may be sold on or after such date.</w:t>
      </w:r>
    </w:p>
    <w:p>
      <w:pPr>
        <w:spacing w:after="0" w:line="150"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165860" cy="3771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 Thomas Hopkins</w:t>
      </w:r>
    </w:p>
    <w:p>
      <w:pPr>
        <w:spacing w:after="0" w:line="27" w:lineRule="exact"/>
        <w:rPr>
          <w:sz w:val="20"/>
          <w:szCs w:val="20"/>
          <w:color w:val="auto"/>
        </w:rPr>
      </w:pPr>
    </w:p>
    <w:p>
      <w:pPr>
        <w:ind w:left="4" w:right="9340" w:hanging="4"/>
        <w:spacing w:after="0" w:line="290" w:lineRule="auto"/>
        <w:tabs>
          <w:tab w:leader="none" w:pos="2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+1 310 883 6417 hopkinsct@cooley.com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June 7, 2024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Life360,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1900 South Norfolk Street, Suite 310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San Mateo, California 94403</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right="60"/>
        <w:spacing w:after="0" w:line="269" w:lineRule="auto"/>
        <w:rPr>
          <w:sz w:val="20"/>
          <w:szCs w:val="20"/>
          <w:color w:val="auto"/>
        </w:rPr>
      </w:pPr>
      <w:r>
        <w:rPr>
          <w:rFonts w:ascii="Times New Roman" w:cs="Times New Roman" w:eastAsia="Times New Roman" w:hAnsi="Times New Roman"/>
          <w:sz w:val="17"/>
          <w:szCs w:val="17"/>
          <w:color w:val="auto"/>
        </w:rPr>
        <w:t>We have acted as counsel to Life360,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in connection with the filing by the Company of a Registration Statement on Form S-3 (Registration Statement No. 333-279271)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with the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the base prospectus included in the Registration Statement (the “</w:t>
      </w:r>
      <w:r>
        <w:rPr>
          <w:rFonts w:ascii="Times New Roman" w:cs="Times New Roman" w:eastAsia="Times New Roman" w:hAnsi="Times New Roman"/>
          <w:sz w:val="17"/>
          <w:szCs w:val="17"/>
          <w:b w:val="1"/>
          <w:bCs w:val="1"/>
          <w:i w:val="1"/>
          <w:iCs w:val="1"/>
          <w:color w:val="auto"/>
        </w:rPr>
        <w:t>Base Prospectus</w:t>
      </w:r>
      <w:r>
        <w:rPr>
          <w:rFonts w:ascii="Times New Roman" w:cs="Times New Roman" w:eastAsia="Times New Roman" w:hAnsi="Times New Roman"/>
          <w:sz w:val="17"/>
          <w:szCs w:val="17"/>
          <w:color w:val="auto"/>
        </w:rPr>
        <w:t>”), and the prospectus supplement relating to the Shares filed with the Commission pursuant to Rule 424(b) under the Securities Act (together with the Base Prospectus, the “</w:t>
      </w:r>
      <w:r>
        <w:rPr>
          <w:rFonts w:ascii="Times New Roman" w:cs="Times New Roman" w:eastAsia="Times New Roman" w:hAnsi="Times New Roman"/>
          <w:sz w:val="17"/>
          <w:szCs w:val="17"/>
          <w:b w:val="1"/>
          <w:bCs w:val="1"/>
          <w:i w:val="1"/>
          <w:iCs w:val="1"/>
          <w:color w:val="auto"/>
        </w:rPr>
        <w:t>Prospectus</w:t>
      </w:r>
      <w:r>
        <w:rPr>
          <w:rFonts w:ascii="Times New Roman" w:cs="Times New Roman" w:eastAsia="Times New Roman" w:hAnsi="Times New Roman"/>
          <w:sz w:val="17"/>
          <w:szCs w:val="17"/>
          <w:color w:val="auto"/>
        </w:rPr>
        <w:t>”) covering an underwritten public offering of up to 6,612,500 shares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of the Company’s common stock, par value $0.001 per share, which consists of (i) 3,703,704 Shares to be sold by the Company, (the “</w:t>
      </w:r>
      <w:r>
        <w:rPr>
          <w:rFonts w:ascii="Times New Roman" w:cs="Times New Roman" w:eastAsia="Times New Roman" w:hAnsi="Times New Roman"/>
          <w:sz w:val="17"/>
          <w:szCs w:val="17"/>
          <w:b w:val="1"/>
          <w:bCs w:val="1"/>
          <w:i w:val="1"/>
          <w:iCs w:val="1"/>
          <w:color w:val="auto"/>
        </w:rPr>
        <w:t>Company Shares</w:t>
      </w:r>
      <w:r>
        <w:rPr>
          <w:rFonts w:ascii="Times New Roman" w:cs="Times New Roman" w:eastAsia="Times New Roman" w:hAnsi="Times New Roman"/>
          <w:sz w:val="17"/>
          <w:szCs w:val="17"/>
          <w:color w:val="auto"/>
        </w:rPr>
        <w:t>”), and</w:t>
      </w:r>
    </w:p>
    <w:p>
      <w:pPr>
        <w:spacing w:after="0" w:line="4" w:lineRule="exact"/>
        <w:rPr>
          <w:sz w:val="20"/>
          <w:szCs w:val="20"/>
          <w:color w:val="auto"/>
        </w:rPr>
      </w:pPr>
    </w:p>
    <w:p>
      <w:pPr>
        <w:ind w:left="4" w:right="40" w:hanging="4"/>
        <w:spacing w:after="0" w:line="260" w:lineRule="auto"/>
        <w:tabs>
          <w:tab w:leader="none" w:pos="26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2,908,796 Shares, including up to 862,500 Shares that may be sold by the selling stockholders pursuant to the exercise of an option to purchase additional Shares granted to the underwriters, to be sold by the selling stockholders identified in such Prospectus (the “</w:t>
      </w:r>
      <w:r>
        <w:rPr>
          <w:rFonts w:ascii="Times New Roman" w:cs="Times New Roman" w:eastAsia="Times New Roman" w:hAnsi="Times New Roman"/>
          <w:sz w:val="18"/>
          <w:szCs w:val="18"/>
          <w:b w:val="1"/>
          <w:bCs w:val="1"/>
          <w:i w:val="1"/>
          <w:iCs w:val="1"/>
          <w:color w:val="auto"/>
        </w:rPr>
        <w:t>Stockholder Shares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the Registration Statement, the Prospectus, the Company’s certificate of incorporation and bylaws, each as currently in effect,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9" w:lineRule="exact"/>
        <w:rPr>
          <w:sz w:val="20"/>
          <w:szCs w:val="20"/>
          <w:color w:val="auto"/>
        </w:rPr>
      </w:pPr>
    </w:p>
    <w:p>
      <w:pPr>
        <w:ind w:left="4" w:right="420"/>
        <w:spacing w:after="0" w:line="266" w:lineRule="auto"/>
        <w:rPr>
          <w:sz w:val="20"/>
          <w:szCs w:val="20"/>
          <w:color w:val="auto"/>
        </w:rPr>
      </w:pPr>
      <w:r>
        <w:rPr>
          <w:rFonts w:ascii="Times New Roman" w:cs="Times New Roman" w:eastAsia="Times New Roman" w:hAnsi="Times New Roman"/>
          <w:sz w:val="18"/>
          <w:szCs w:val="18"/>
          <w:color w:val="auto"/>
        </w:rPr>
        <w:t>Our opinion is expressed solely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(i) the Company Shares, when sold and issued against payment therefor as provided in the Registration Statement and the Prospectus, will be validly issued, fully paid and nonassessable and (ii) the Stockholder Shares are validly issued, fully paid and nonassessable.</w:t>
      </w:r>
    </w:p>
    <w:p>
      <w:pPr>
        <w:spacing w:after="0" w:line="176"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hereafter may come to our attention or any changes in law that may hereafter occur.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Cooley LLP 1333 2nd Street, Suite 400, Santa Monica, CA 90401</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 (310) 883-6400 f: (310) 883-6500 cooley.com</w:t>
      </w:r>
    </w:p>
    <w:p>
      <w:pPr>
        <w:sectPr>
          <w:pgSz w:w="11900" w:h="16838" w:orient="portrait"/>
          <w:cols w:equalWidth="0" w:num="1">
            <w:col w:w="11024"/>
          </w:cols>
          <w:pgMar w:left="436" w:top="117"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3771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June 7,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“Legal Matters” in the Prospectus and to the filing of this opinion as an exhibit to a Current Report on Form 8-K to be filed with the Commission for incorporation by reference into the Registration Statement. In giving such consents, we do not thereby admit that we are in the category of persons whose consent is required under Section 7 of the Securities Act or the rules and regulations of the Commission thereunder.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OOLEY</w:t>
      </w:r>
      <w:r>
        <w:rPr>
          <w:rFonts w:ascii="Times New Roman" w:cs="Times New Roman" w:eastAsia="Times New Roman" w:hAnsi="Times New Roman"/>
          <w:sz w:val="18"/>
          <w:szCs w:val="18"/>
          <w:color w:val="auto"/>
        </w:rPr>
        <w:t xml:space="preserv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 Thomas Hopkins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 Thomas Hopkins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Cooley LLP 1333 2nd Street, Suite 400, Santa Monica, CA 90401</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 (310) 883-6400 f: (310) 883-6500 cooley.com</w:t>
      </w:r>
    </w:p>
    <w:p>
      <w:pPr>
        <w:sectPr>
          <w:pgSz w:w="11900" w:h="16838" w:orient="portrait"/>
          <w:cols w:equalWidth="0" w:num="1">
            <w:col w:w="10900"/>
          </w:cols>
          <w:pgMar w:left="440" w:top="972" w:right="55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Life360 Announces Pricing of U.S. Initial Public Offering</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SAN FRANCISCO, June 6, 2024 /PRNewswire/ — San Francisco area-based Life360, Inc. (“Life360” or the “Company”) today announced the pricing of its initial public offering in the U.S. (the “Offering”) of 5,750,000 shares of its common stock, with 3,703,704 shares of common stock being offered by Life360 and 2,046,296 shares of common stock being offered by the selling securityholders named in the prospectus (“Selling Securityholders”), at an initial public offering price of $27.00 per share. Life360 will not receive any of the proceeds from the sale of the shares by the Selling Securityholders. The shares are expected to begin trading on the Nasdaq Global Select Market under the ticker symbol “LIF”, today, Thursday June 6, 2024. In addition, the Selling Securityholders have granted the underwriters a 30-day option to purchase up to an additional 862,500 shares of common stock at the initial public offering price, less underwriting discounts and commissions. The offering is expected to close on June 7, 2024, subject to customary closing conditions.</w:t>
      </w:r>
    </w:p>
    <w:p>
      <w:pPr>
        <w:spacing w:after="0" w:line="19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intends to use the net proceeds it receives from the proposed offering to increase its capitalization and financial flexibility, to create a public market for its common stock in the United States and for general corporate purposes, including working capital, operating expenses and capital expenditures.</w:t>
      </w:r>
    </w:p>
    <w:p>
      <w:pPr>
        <w:spacing w:after="0" w:line="1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Company, with headquarters in the San Francisco area and pre-existing SEC reporting obligations, views the Offering and increased exposure to U.S. investors as a natural next-step in its growth. The Company’s CHESS Depositary Interests (“CDIs”) (representing underlying shares of common stock on a 3 CDIs-for-1 share of common stock basis) will remain listed on the Australian Securities Exchange.</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Goldman Sachs &amp; Co. LLC, Evercore ISI and UBS Investment Bank are acting as joint book-running managers for the Offering. Stifel is acting as an additional book-running manager for the Offering. Canaccord Genuity, Citizens JMP and Loop Capital Markets are acting as co-managers for the Offering.</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A registration statement on Form S-3 (Registration No. 333-279271) (including a base prospectus) has been filed with the SEC and became automatically effective on May 9, 2024. A preliminary prospectus supplement and accompanying prospectus relating to the Offering has been filed with the SEC and is available on the SEC’s website located at </w:t>
      </w:r>
      <w:r>
        <w:rPr>
          <w:rFonts w:ascii="Times New Roman" w:cs="Times New Roman" w:eastAsia="Times New Roman" w:hAnsi="Times New Roman"/>
          <w:sz w:val="18"/>
          <w:szCs w:val="18"/>
          <w:b w:val="1"/>
          <w:bCs w:val="1"/>
          <w:u w:val="single" w:color="auto"/>
          <w:color w:val="auto"/>
        </w:rPr>
        <w:t>http://www.sec.gov</w:t>
      </w:r>
      <w:r>
        <w:rPr>
          <w:rFonts w:ascii="Times New Roman" w:cs="Times New Roman" w:eastAsia="Times New Roman" w:hAnsi="Times New Roman"/>
          <w:sz w:val="18"/>
          <w:szCs w:val="18"/>
          <w:color w:val="auto"/>
        </w:rPr>
        <w:t xml:space="preserve">. A final prospectus supplement reflecting the final terms of the Offering will be filed with the SEC. Copies of the preliminary prospectus supplement and the accompanying prospectus relating to the Offering may be obtained from: Goldman Sachs &amp; Co. LLC, Attention: Prospectus Department, 200 West Street, New York, NY 10282, by telephone at (866) 471-2526, or by email at </w:t>
      </w:r>
      <w:r>
        <w:rPr>
          <w:rFonts w:ascii="Times New Roman" w:cs="Times New Roman" w:eastAsia="Times New Roman" w:hAnsi="Times New Roman"/>
          <w:sz w:val="18"/>
          <w:szCs w:val="18"/>
          <w:b w:val="1"/>
          <w:bCs w:val="1"/>
          <w:u w:val="single" w:color="auto"/>
          <w:color w:val="auto"/>
        </w:rPr>
        <w:t>Prospectus-ny@ny.email.gs.com</w:t>
      </w:r>
      <w:r>
        <w:rPr>
          <w:rFonts w:ascii="Times New Roman" w:cs="Times New Roman" w:eastAsia="Times New Roman" w:hAnsi="Times New Roman"/>
          <w:sz w:val="18"/>
          <w:szCs w:val="18"/>
          <w:color w:val="auto"/>
        </w:rPr>
        <w:t xml:space="preserve">; Evercore Group L.L.C., Attention: Equity Capital Markets, 55 East 52nd Street, 35th Floor, New York, NY 10055, by telephone at (888) 474-0200, or email: </w:t>
      </w:r>
      <w:r>
        <w:rPr>
          <w:rFonts w:ascii="Times New Roman" w:cs="Times New Roman" w:eastAsia="Times New Roman" w:hAnsi="Times New Roman"/>
          <w:sz w:val="18"/>
          <w:szCs w:val="18"/>
          <w:b w:val="1"/>
          <w:bCs w:val="1"/>
          <w:u w:val="single" w:color="auto"/>
          <w:color w:val="auto"/>
        </w:rPr>
        <w:t>ecm.prospectus@evercore.com</w:t>
      </w:r>
      <w:r>
        <w:rPr>
          <w:rFonts w:ascii="Times New Roman" w:cs="Times New Roman" w:eastAsia="Times New Roman" w:hAnsi="Times New Roman"/>
          <w:sz w:val="18"/>
          <w:szCs w:val="18"/>
          <w:color w:val="auto"/>
        </w:rPr>
        <w:t xml:space="preserve">; or UBS Securities LLC, Attn: Prospectus Department, 1285 Avenue of the Americas, New York, NY 10019 or email: </w:t>
      </w:r>
      <w:r>
        <w:rPr>
          <w:rFonts w:ascii="Times New Roman" w:cs="Times New Roman" w:eastAsia="Times New Roman" w:hAnsi="Times New Roman"/>
          <w:sz w:val="18"/>
          <w:szCs w:val="18"/>
          <w:b w:val="1"/>
          <w:bCs w:val="1"/>
          <w:u w:val="single" w:color="auto"/>
          <w:color w:val="auto"/>
        </w:rPr>
        <w:t>ol-prospectus-request@ubs.com</w:t>
      </w:r>
      <w:r>
        <w:rPr>
          <w:rFonts w:ascii="Times New Roman" w:cs="Times New Roman" w:eastAsia="Times New Roman" w:hAnsi="Times New Roman"/>
          <w:sz w:val="18"/>
          <w:szCs w:val="18"/>
          <w:b w:val="1"/>
          <w:bCs w:val="1"/>
          <w:color w:val="auto"/>
        </w:rPr>
        <w:t>.</w:t>
      </w:r>
    </w:p>
    <w:p>
      <w:pPr>
        <w:sectPr>
          <w:pgSz w:w="11900" w:h="16838" w:orient="portrait"/>
          <w:cols w:equalWidth="0" w:num="1">
            <w:col w:w="11020"/>
          </w:cols>
          <w:pgMar w:left="440" w:top="117" w:right="439" w:bottom="1440" w:gutter="0" w:footer="0" w:header="0"/>
        </w:sectPr>
      </w:pPr>
    </w:p>
    <w:bookmarkStart w:id="57" w:name="page58"/>
    <w:bookmarkEnd w:id="57"/>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press release is for informational purposes only and shall not constitute an offer to sell or the solicitation of an offer to buy, nor shall there be any sale of these securities in any jurisdiction in which such offer, solicitation or sale would be unlawful prior to registration or qualification under the securities laws of any such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Life360</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Life360, a family connection and safety company, keeps people close to the ones they love. The category-leading mobile app and Tile tracking devices empower members to stay connected to the people, pets, and things they care about most, with a range of services, including location sharing, safe driver reports, and crash detection with emergency dispatch. Life360 delivers peace of mind and enhances everyday family life in all the moments that matter, big and small.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Life360 intends such forward-looking statements to be covered by the safe harbor provisions for forward-looking statements contained in Section 21E of the Securities Exchange Act of 1934, as amended. These forward-looking statements regarding Life360’s intentions, objectives, plans, expectations, assumptions and beliefs about future events, including statements regarding Life360’s expectations relating to the commencement of trading of its common stock on the Nasdaq Global Select Market; and the underwriters’ 30-day option to purchase additional shares. The words “anticipate,” “believe,” “contemplate,” “continue,” “could,” “estimate,” “expect,” “intend,” “may,” “might,” “plan,” “possible,” “potential,” “predict,” “seek,” “should,” “will,” “would” and other similar expressions can generally be used to identify forward-looking statements. Indications of, and guidance or outlook on, future earnings or financial position or performance are also forward-looking statements. Investors and prospective investors are cautioned not to place undue reliance on these forward-looking statements as they involve inherent risk and uncertainty (both general and specific) and should note that they are provided as a general guide only and should not be relied on as an indication or guarantee of future performance. There is a risk that such predictions, forecasts, projections and other forward-looking statements will not be achieved. Subject to any continuing obligations under applicable law, Life360 does not undertake any obligation to publicly release the result of any revisions to these forward-looking statements to reflect events or circumstances after the date of this announcement, to reflect any change in expectations in relation to any forward-looking statements or any change in events, conditions or circumstances on which any such statements are based.</w:t>
      </w:r>
    </w:p>
    <w:p>
      <w:pPr>
        <w:spacing w:after="0" w:line="19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Although Life360 believes that the expectations reflected in the forward-looking statements and the assumptions upon which they are based are reasonable, Life360 can give no assurance that such expectations and assumptions will prove to be correct and, actual results may vary in a materially positive or negative manner. Forward-looking statements are subject to known and unknown risks, uncertainty, assumptions and contingencies, many of which are outside Life360’s control, and are based on</w:t>
      </w:r>
    </w:p>
    <w:p>
      <w:pPr>
        <w:sectPr>
          <w:pgSz w:w="11900" w:h="16838" w:orient="portrait"/>
          <w:cols w:equalWidth="0" w:num="1">
            <w:col w:w="11000"/>
          </w:cols>
          <w:pgMar w:left="440" w:top="270" w:right="459" w:bottom="1440" w:gutter="0" w:footer="0" w:header="0"/>
        </w:sectPr>
      </w:pPr>
    </w:p>
    <w:bookmarkStart w:id="58" w:name="page59"/>
    <w:bookmarkEnd w:id="58"/>
    <w:p>
      <w:pPr>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estimates and assumptions that are subject to change and may cause actual results, performance or achievements to differ materially from those expressed or implied by such statements. Factors that could cause actual results to differ materially from those in the forward-looking statements include risks related to Life360’s business, market risks, Life360’s need for additional capital, and the risk that Life360’s products and services may not perform as expected, as described in greater detail under the heading “Risk Factors” in Life360’s ASX and SEC filings, including its Annual Report on Form</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10-K filed with the Securities and Exchange Commission on February 29, 2024 and other reports filed with the SEC. To the maximum extent permitted by law, responsibility for the accuracy or completeness of any forward-looking statements whether as a result of new information, future events or results or otherwise is disclaimed. This announcement should not be relied upon as a recommendation or forecast by Life360. Nothing contained in this document nor any information made available to you is, or shall be relied upon as, a promise, representation, warranty or guarantee as to the past, present or the future performance of Life360.</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Life360</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lowerRoman"/>
      <w:start w:val="1"/>
    </w:lvl>
  </w:abstractNum>
  <w:abstractNum w:abstractNumId="2">
    <w:nsid w:val="3A95F874"/>
    <w:multiLevelType w:val="hybridMultilevel"/>
    <w:lvl w:ilvl="0">
      <w:lvlJc w:val="left"/>
      <w:lvlText w:val="(%1)"/>
      <w:numFmt w:val="lowerRoman"/>
      <w:start w:val="2"/>
    </w:lvl>
  </w:abstractNum>
  <w:abstractNum w:abstractNumId="3">
    <w:nsid w:val="8138641"/>
    <w:multiLevelType w:val="hybridMultilevel"/>
    <w:lvl w:ilvl="0">
      <w:lvlJc w:val="left"/>
      <w:lvlText w:val="(%1)"/>
      <w:numFmt w:val="lowerRoman"/>
      <w:start w:val="5"/>
    </w:lvl>
  </w:abstractNum>
  <w:abstractNum w:abstractNumId="4">
    <w:nsid w:val="1E7FF521"/>
    <w:multiLevelType w:val="hybridMultilevel"/>
    <w:lvl w:ilvl="0">
      <w:lvlJc w:val="left"/>
      <w:lvlText w:val="(%1)"/>
      <w:numFmt w:val="lowerRoman"/>
      <w:start w:val="7"/>
    </w:lvl>
  </w:abstractNum>
  <w:abstractNum w:abstractNumId="5">
    <w:nsid w:val="7C3DBD3D"/>
    <w:multiLevelType w:val="hybridMultilevel"/>
    <w:lvl w:ilvl="0">
      <w:lvlJc w:val="left"/>
      <w:lvlText w:val="%1"/>
      <w:numFmt w:val="upperLetter"/>
      <w:start w:val="1"/>
    </w:lvl>
    <w:lvl w:ilvl="1">
      <w:lvlJc w:val="left"/>
      <w:lvlText w:val="(%2)"/>
      <w:numFmt w:val="lowerRoman"/>
      <w:start w:val="9"/>
    </w:lvl>
  </w:abstractNum>
  <w:abstractNum w:abstractNumId="6">
    <w:nsid w:val="737B8DDC"/>
    <w:multiLevelType w:val="hybridMultilevel"/>
    <w:lvl w:ilvl="0">
      <w:lvlJc w:val="left"/>
      <w:lvlText w:val="(%1)"/>
      <w:numFmt w:val="upperLetter"/>
      <w:start w:val="3"/>
    </w:lvl>
    <w:lvl w:ilvl="1">
      <w:lvlJc w:val="left"/>
      <w:lvlText w:val="%2"/>
      <w:numFmt w:val="lowerRoman"/>
      <w:start w:val="1"/>
    </w:lvl>
  </w:abstractNum>
  <w:abstractNum w:abstractNumId="7">
    <w:nsid w:val="6CEAF087"/>
    <w:multiLevelType w:val="hybridMultilevel"/>
    <w:lvl w:ilvl="0">
      <w:lvlJc w:val="left"/>
      <w:lvlText w:val="(%1)"/>
      <w:numFmt w:val="lowerRoman"/>
      <w:start w:val="12"/>
    </w:lvl>
  </w:abstractNum>
  <w:abstractNum w:abstractNumId="8">
    <w:nsid w:val="22221A70"/>
    <w:multiLevelType w:val="hybridMultilevel"/>
    <w:lvl w:ilvl="0">
      <w:lvlJc w:val="left"/>
      <w:lvlText w:val="(%1)"/>
      <w:numFmt w:val="lowerRoman"/>
      <w:start w:val="16"/>
    </w:lvl>
  </w:abstractNum>
  <w:abstractNum w:abstractNumId="9">
    <w:nsid w:val="4516DDE9"/>
    <w:multiLevelType w:val="hybridMultilevel"/>
    <w:lvl w:ilvl="0">
      <w:lvlJc w:val="left"/>
      <w:lvlText w:val="(%1)"/>
      <w:numFmt w:val="lowerRoman"/>
      <w:start w:val="21"/>
    </w:lvl>
  </w:abstractNum>
  <w:abstractNum w:abstractNumId="10">
    <w:nsid w:val="3006C83E"/>
    <w:multiLevelType w:val="hybridMultilevel"/>
    <w:lvl w:ilvl="0">
      <w:lvlJc w:val="left"/>
      <w:lvlText w:val="(%1)"/>
      <w:numFmt w:val="lowerRoman"/>
      <w:start w:val="24"/>
    </w:lvl>
  </w:abstractNum>
  <w:abstractNum w:abstractNumId="11">
    <w:nsid w:val="614FD4A1"/>
    <w:multiLevelType w:val="hybridMultilevel"/>
    <w:lvl w:ilvl="0">
      <w:lvlJc w:val="left"/>
      <w:lvlText w:val="(%1)"/>
      <w:numFmt w:val="lowerRoman"/>
      <w:start w:val="26"/>
    </w:lvl>
  </w:abstractNum>
  <w:abstractNum w:abstractNumId="12">
    <w:nsid w:val="419AC241"/>
    <w:multiLevelType w:val="hybridMultilevel"/>
    <w:lvl w:ilvl="0">
      <w:lvlJc w:val="left"/>
      <w:lvlText w:val="(%1)"/>
      <w:numFmt w:val="lowerRoman"/>
      <w:start w:val="28"/>
    </w:lvl>
  </w:abstractNum>
  <w:abstractNum w:abstractNumId="13">
    <w:nsid w:val="5577F8E1"/>
    <w:multiLevelType w:val="hybridMultilevel"/>
    <w:lvl w:ilvl="0">
      <w:lvlJc w:val="left"/>
      <w:lvlText w:val="(%1)"/>
      <w:numFmt w:val="lowerRoman"/>
      <w:start w:val="34"/>
    </w:lvl>
  </w:abstractNum>
  <w:abstractNum w:abstractNumId="14">
    <w:nsid w:val="440BADFC"/>
    <w:multiLevelType w:val="hybridMultilevel"/>
    <w:lvl w:ilvl="0">
      <w:lvlJc w:val="left"/>
      <w:lvlText w:val="(%1)"/>
      <w:numFmt w:val="lowerLetter"/>
      <w:start w:val="2"/>
    </w:lvl>
    <w:lvl w:ilvl="1">
      <w:lvlJc w:val="left"/>
      <w:lvlText w:val="(%2)"/>
      <w:numFmt w:val="lowerRoman"/>
      <w:start w:val="1"/>
    </w:lvl>
  </w:abstractNum>
  <w:abstractNum w:abstractNumId="15">
    <w:nsid w:val="5072367"/>
    <w:multiLevelType w:val="hybridMultilevel"/>
    <w:lvl w:ilvl="0">
      <w:lvlJc w:val="left"/>
      <w:lvlText w:val="(%1)"/>
      <w:numFmt w:val="lowerRoman"/>
      <w:start w:val="3"/>
    </w:lvl>
  </w:abstractNum>
  <w:abstractNum w:abstractNumId="16">
    <w:nsid w:val="3804823E"/>
    <w:multiLevelType w:val="hybridMultilevel"/>
    <w:lvl w:ilvl="0">
      <w:lvlJc w:val="left"/>
      <w:lvlText w:val="(%1)"/>
      <w:numFmt w:val="lowerRoman"/>
      <w:start w:val="7"/>
    </w:lvl>
  </w:abstractNum>
  <w:abstractNum w:abstractNumId="17">
    <w:nsid w:val="77465F01"/>
    <w:multiLevelType w:val="hybridMultilevel"/>
    <w:lvl w:ilvl="0">
      <w:lvlJc w:val="left"/>
      <w:lvlText w:val="%1"/>
      <w:numFmt w:val="decimal"/>
      <w:start w:val="1"/>
    </w:lvl>
    <w:lvl w:ilvl="1">
      <w:lvlJc w:val="left"/>
      <w:lvlText w:val="(%2)"/>
      <w:numFmt w:val="lowerRoman"/>
      <w:start w:val="11"/>
    </w:lvl>
  </w:abstractNum>
  <w:abstractNum w:abstractNumId="18">
    <w:nsid w:val="7724C67E"/>
    <w:multiLevelType w:val="hybridMultilevel"/>
    <w:lvl w:ilvl="0">
      <w:lvlJc w:val="left"/>
      <w:lvlText w:val="%1."/>
      <w:numFmt w:val="decimal"/>
      <w:start w:val="2"/>
    </w:lvl>
    <w:lvl w:ilvl="1">
      <w:lvlJc w:val="left"/>
      <w:lvlText w:val="%2"/>
      <w:numFmt w:val="lowerRoman"/>
      <w:start w:val="1"/>
    </w:lvl>
  </w:abstractNum>
  <w:abstractNum w:abstractNumId="19">
    <w:nsid w:val="5C482A97"/>
    <w:multiLevelType w:val="hybridMultilevel"/>
    <w:lvl w:ilvl="0">
      <w:lvlJc w:val="left"/>
      <w:lvlText w:val="%1."/>
      <w:numFmt w:val="decimal"/>
      <w:start w:val="3"/>
    </w:lvl>
  </w:abstractNum>
  <w:abstractNum w:abstractNumId="20">
    <w:nsid w:val="2463B9EA"/>
    <w:multiLevelType w:val="hybridMultilevel"/>
    <w:lvl w:ilvl="0">
      <w:lvlJc w:val="left"/>
      <w:lvlText w:val="(%1)"/>
      <w:numFmt w:val="lowerLetter"/>
      <w:start w:val="2"/>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1)"/>
      <w:numFmt w:val="lowerLetter"/>
      <w:start w:val="2"/>
    </w:lvl>
  </w:abstractNum>
  <w:abstractNum w:abstractNumId="23">
    <w:nsid w:val="2D517796"/>
    <w:multiLevelType w:val="hybridMultilevel"/>
    <w:lvl w:ilvl="0">
      <w:lvlJc w:val="left"/>
      <w:lvlText w:val="(%1)"/>
      <w:numFmt w:val="lowerLetter"/>
      <w:start w:val="6"/>
    </w:lvl>
  </w:abstractNum>
  <w:abstractNum w:abstractNumId="24">
    <w:nsid w:val="580BD78F"/>
    <w:multiLevelType w:val="hybridMultilevel"/>
    <w:lvl w:ilvl="0">
      <w:lvlJc w:val="left"/>
      <w:lvlText w:val="(%1)"/>
      <w:numFmt w:val="lowerLetter"/>
      <w:start w:val="35"/>
    </w:lvl>
    <w:lvl w:ilvl="1">
      <w:lvlJc w:val="left"/>
      <w:lvlText w:val="(%2)"/>
      <w:numFmt w:val="lowerLetter"/>
      <w:start w:val="7"/>
    </w:lvl>
    <w:lvl w:ilvl="2">
      <w:lvlJc w:val="left"/>
      <w:lvlText w:val="(%3)"/>
      <w:numFmt w:val="lowerLetter"/>
      <w:start w:val="35"/>
    </w:lvl>
  </w:abstractNum>
  <w:abstractNum w:abstractNumId="25">
    <w:nsid w:val="153EA438"/>
    <w:multiLevelType w:val="hybridMultilevel"/>
    <w:lvl w:ilvl="0">
      <w:lvlJc w:val="left"/>
      <w:lvlText w:val="(%1)"/>
      <w:numFmt w:val="lowerLetter"/>
      <w:start w:val="11"/>
    </w:lvl>
  </w:abstractNum>
  <w:abstractNum w:abstractNumId="26">
    <w:nsid w:val="3855585C"/>
    <w:multiLevelType w:val="hybridMultilevel"/>
    <w:lvl w:ilvl="0">
      <w:lvlJc w:val="left"/>
      <w:lvlText w:val="(%1)"/>
      <w:numFmt w:val="lowerLetter"/>
      <w:start w:val="1"/>
    </w:lvl>
  </w:abstractNum>
  <w:abstractNum w:abstractNumId="27">
    <w:nsid w:val="70A64E2A"/>
    <w:multiLevelType w:val="hybridMultilevel"/>
    <w:lvl w:ilvl="0">
      <w:lvlJc w:val="left"/>
      <w:lvlText w:val="(%1)"/>
      <w:numFmt w:val="lowerLetter"/>
      <w:start w:val="3"/>
    </w:lvl>
  </w:abstractNum>
  <w:abstractNum w:abstractNumId="28">
    <w:nsid w:val="6A2342EC"/>
    <w:multiLevelType w:val="hybridMultilevel"/>
    <w:lvl w:ilvl="0">
      <w:lvlJc w:val="left"/>
      <w:lvlText w:val="%1."/>
      <w:numFmt w:val="decimal"/>
      <w:start w:val="7"/>
    </w:lvl>
  </w:abstractNum>
  <w:abstractNum w:abstractNumId="29">
    <w:nsid w:val="2A487CB0"/>
    <w:multiLevelType w:val="hybridMultilevel"/>
    <w:lvl w:ilvl="0">
      <w:lvlJc w:val="left"/>
      <w:lvlText w:val="(%1)"/>
      <w:numFmt w:val="lowerRoman"/>
      <w:start w:val="5"/>
    </w:lvl>
    <w:lvl w:ilvl="1">
      <w:lvlJc w:val="left"/>
      <w:lvlText w:val="%2."/>
      <w:numFmt w:val="decimal"/>
      <w:start w:val="8"/>
    </w:lvl>
  </w:abstractNum>
  <w:abstractNum w:abstractNumId="30">
    <w:nsid w:val="1D4ED43B"/>
    <w:multiLevelType w:val="hybridMultilevel"/>
    <w:lvl w:ilvl="0">
      <w:lvlJc w:val="left"/>
      <w:lvlText w:val="(%1)"/>
      <w:numFmt w:val="lowerLetter"/>
      <w:start w:val="1"/>
    </w:lvl>
  </w:abstractNum>
  <w:abstractNum w:abstractNumId="31">
    <w:nsid w:val="725A06FB"/>
    <w:multiLevelType w:val="hybridMultilevel"/>
    <w:lvl w:ilvl="0">
      <w:lvlJc w:val="left"/>
      <w:lvlText w:val="(%1)"/>
      <w:numFmt w:val="lowerLetter"/>
      <w:start w:val="2"/>
    </w:lvl>
  </w:abstractNum>
  <w:abstractNum w:abstractNumId="32">
    <w:nsid w:val="2CD89A32"/>
    <w:multiLevelType w:val="hybridMultilevel"/>
    <w:lvl w:ilvl="0">
      <w:lvlJc w:val="left"/>
      <w:lvlText w:val="%1"/>
      <w:numFmt w:val="lowerLetter"/>
      <w:start w:val="1"/>
    </w:lvl>
    <w:lvl w:ilvl="1">
      <w:lvlJc w:val="left"/>
      <w:lvlText w:val="(%2)"/>
      <w:numFmt w:val="lowerLetter"/>
      <w:start w:val="7"/>
    </w:lvl>
  </w:abstractNum>
  <w:abstractNum w:abstractNumId="33">
    <w:nsid w:val="57E4CCAF"/>
    <w:multiLevelType w:val="hybridMultilevel"/>
    <w:lvl w:ilvl="0">
      <w:lvlJc w:val="left"/>
      <w:lvlText w:val="(%1)"/>
      <w:numFmt w:val="lowerLetter"/>
      <w:start w:val="22"/>
    </w:lvl>
    <w:lvl w:ilvl="1">
      <w:lvlJc w:val="left"/>
      <w:lvlText w:val="(%2)"/>
      <w:numFmt w:val="lowerLetter"/>
      <w:start w:val="12"/>
    </w:lvl>
  </w:abstractNum>
  <w:abstractNum w:abstractNumId="34">
    <w:nsid w:val="7A6D8D3C"/>
    <w:multiLevelType w:val="hybridMultilevel"/>
    <w:lvl w:ilvl="0">
      <w:lvlJc w:val="left"/>
      <w:lvlText w:val="(%1)"/>
      <w:numFmt w:val="lowerLetter"/>
      <w:start w:val="15"/>
    </w:lvl>
  </w:abstractNum>
  <w:abstractNum w:abstractNumId="35">
    <w:nsid w:val="4B588F54"/>
    <w:multiLevelType w:val="hybridMultilevel"/>
    <w:lvl w:ilvl="0">
      <w:lvlJc w:val="left"/>
      <w:lvlText w:val="%1."/>
      <w:numFmt w:val="decimal"/>
      <w:start w:val="9"/>
    </w:lvl>
  </w:abstractNum>
  <w:abstractNum w:abstractNumId="36">
    <w:nsid w:val="542289EC"/>
    <w:multiLevelType w:val="hybridMultilevel"/>
    <w:lvl w:ilvl="0">
      <w:lvlJc w:val="left"/>
      <w:lvlText w:val="(%1)"/>
      <w:numFmt w:val="lowerLetter"/>
      <w:start w:val="2"/>
    </w:lvl>
  </w:abstractNum>
  <w:abstractNum w:abstractNumId="37">
    <w:nsid w:val="6DE91B18"/>
    <w:multiLevelType w:val="hybridMultilevel"/>
    <w:lvl w:ilvl="0">
      <w:lvlJc w:val="left"/>
      <w:lvlText w:val="(%1)"/>
      <w:numFmt w:val="lowerLetter"/>
      <w:start w:val="3"/>
    </w:lvl>
  </w:abstractNum>
  <w:abstractNum w:abstractNumId="38">
    <w:nsid w:val="38437FDB"/>
    <w:multiLevelType w:val="hybridMultilevel"/>
    <w:lvl w:ilvl="0">
      <w:lvlJc w:val="left"/>
      <w:lvlText w:val="%1"/>
      <w:numFmt w:val="lowerLetter"/>
      <w:start w:val="1"/>
    </w:lvl>
    <w:lvl w:ilvl="1">
      <w:lvlJc w:val="left"/>
      <w:lvlText w:val="(%2)"/>
      <w:numFmt w:val="lowerLetter"/>
      <w:start w:val="4"/>
    </w:lvl>
  </w:abstractNum>
  <w:abstractNum w:abstractNumId="39">
    <w:nsid w:val="7644A45C"/>
    <w:multiLevelType w:val="hybridMultilevel"/>
    <w:lvl w:ilvl="0">
      <w:lvlJc w:val="left"/>
      <w:lvlText w:val="(%1)"/>
      <w:numFmt w:val="lowerLetter"/>
      <w:start w:val="2"/>
    </w:lvl>
    <w:lvl w:ilvl="1">
      <w:lvlJc w:val="left"/>
      <w:lvlText w:val="%2"/>
      <w:numFmt w:val="lowerLetter"/>
      <w:start w:val="1"/>
    </w:lvl>
  </w:abstractNum>
  <w:abstractNum w:abstractNumId="40">
    <w:nsid w:val="32FFF902"/>
    <w:multiLevelType w:val="hybridMultilevel"/>
    <w:lvl w:ilvl="0">
      <w:lvlJc w:val="left"/>
      <w:lvlText w:val="(%1)"/>
      <w:numFmt w:val="lowerLetter"/>
      <w:start w:val="6"/>
    </w:lvl>
  </w:abstractNum>
  <w:abstractNum w:abstractNumId="41">
    <w:nsid w:val="684A481A"/>
    <w:multiLevelType w:val="hybridMultilevel"/>
    <w:lvl w:ilvl="0">
      <w:lvlJc w:val="left"/>
      <w:lvlText w:val="%1."/>
      <w:numFmt w:val="decimal"/>
      <w:start w:val="10"/>
    </w:lvl>
  </w:abstractNum>
  <w:abstractNum w:abstractNumId="42">
    <w:nsid w:val="579478FE"/>
    <w:multiLevelType w:val="hybridMultilevel"/>
    <w:lvl w:ilvl="0">
      <w:lvlJc w:val="left"/>
      <w:lvlText w:val="(%1)"/>
      <w:numFmt w:val="lowerLetter"/>
      <w:start w:val="2"/>
    </w:lvl>
  </w:abstractNum>
  <w:abstractNum w:abstractNumId="43">
    <w:nsid w:val="749ABB43"/>
    <w:multiLevelType w:val="hybridMultilevel"/>
    <w:lvl w:ilvl="0">
      <w:lvlJc w:val="left"/>
      <w:lvlText w:val="%1."/>
      <w:numFmt w:val="decimal"/>
      <w:start w:val="11"/>
    </w:lvl>
  </w:abstractNum>
  <w:abstractNum w:abstractNumId="44">
    <w:nsid w:val="3DC240FB"/>
    <w:multiLevelType w:val="hybridMultilevel"/>
    <w:lvl w:ilvl="0">
      <w:lvlJc w:val="left"/>
      <w:lvlText w:val="%1."/>
      <w:numFmt w:val="decimal"/>
      <w:start w:val="12"/>
    </w:lvl>
  </w:abstractNum>
  <w:abstractNum w:abstractNumId="45">
    <w:nsid w:val="1BA026FA"/>
    <w:multiLevelType w:val="hybridMultilevel"/>
    <w:lvl w:ilvl="0">
      <w:lvlJc w:val="left"/>
      <w:lvlText w:val="%1."/>
      <w:numFmt w:val="decimal"/>
      <w:start w:val="14"/>
    </w:lvl>
  </w:abstractNum>
  <w:abstractNum w:abstractNumId="46">
    <w:nsid w:val="79A1DEAA"/>
    <w:multiLevelType w:val="hybridMultilevel"/>
    <w:lvl w:ilvl="0">
      <w:lvlJc w:val="left"/>
      <w:lvlText w:val="%1."/>
      <w:numFmt w:val="decimal"/>
      <w:start w:val="19"/>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lowerRoman"/>
      <w:start w:val="1"/>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lowerLetter"/>
      <w:start w:val="1"/>
    </w:lvl>
    <w:lvl w:ilvl="1">
      <w:lvlJc w:val="left"/>
      <w:lvlText w:val="(%2)"/>
      <w:numFmt w:val="lowerRoman"/>
      <w:start w:val="7"/>
    </w:lvl>
  </w:abstractNum>
  <w:abstractNum w:abstractNumId="52">
    <w:nsid w:val="4F4EF005"/>
    <w:multiLevelType w:val="hybridMultilevel"/>
    <w:lvl w:ilvl="0">
      <w:lvlJc w:val="left"/>
      <w:lvlText w:val="(%1)"/>
      <w:numFmt w:val="upperLetter"/>
      <w:start w:val="2"/>
    </w:lvl>
  </w:abstractNum>
  <w:abstractNum w:abstractNumId="53">
    <w:nsid w:val="23F9C13C"/>
    <w:multiLevelType w:val="hybridMultilevel"/>
    <w:lvl w:ilvl="0">
      <w:lvlJc w:val="left"/>
      <w:lvlText w:val="(%1)"/>
      <w:numFmt w:val="lowerLetter"/>
      <w:start w:val="2"/>
    </w:lvl>
  </w:abstractNum>
  <w:abstractNum w:abstractNumId="54">
    <w:nsid w:val="649BB77C"/>
    <w:multiLevelType w:val="hybridMultilevel"/>
    <w:lvl w:ilvl="0">
      <w:lvlJc w:val="left"/>
      <w:lvlText w:val="%1:"/>
      <w:numFmt w:val="upperLetter"/>
      <w:start w:val="20"/>
    </w:lvl>
  </w:abstractNum>
  <w:abstractNum w:abstractNumId="55">
    <w:nsid w:val="275AC794"/>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2024-06-07T16:27:04Z</dcterms:created>
  <dcterms:modified xsi:type="dcterms:W3CDTF">2024-06-07T16:27:04Z</dcterms:modified>
</cp:coreProperties>
</file>