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373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980" w:type="dxa"/>
            <w:vAlign w:val="bottom"/>
            <w:vMerge w:val="restart"/>
          </w:tcPr>
          <w:p>
            <w:pPr>
              <w:spacing w:after="0"/>
              <w:rPr>
                <w:rFonts w:ascii="Times New Roman" w:cs="Times New Roman" w:eastAsia="Times New Roman" w:hAnsi="Times New Roman"/>
                <w:sz w:val="21"/>
                <w:szCs w:val="21"/>
                <w:color w:val="0000EE"/>
                <w:w w:val="99"/>
              </w:rPr>
            </w:pPr>
            <w:hyperlink r:id="rId12">
              <w:r>
                <w:rPr>
                  <w:rFonts w:ascii="Times New Roman" w:cs="Times New Roman" w:eastAsia="Times New Roman" w:hAnsi="Times New Roman"/>
                  <w:sz w:val="21"/>
                  <w:szCs w:val="21"/>
                  <w:color w:val="0000EE"/>
                  <w:w w:val="99"/>
                </w:rPr>
                <w:t>Hulls Chris</w:t>
              </w:r>
            </w:hyperlink>
          </w:p>
        </w:tc>
        <w:tc>
          <w:tcPr>
            <w:tcW w:w="10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980" w:type="dxa"/>
            <w:vAlign w:val="bottom"/>
            <w:tcBorders>
              <w:bottom w:val="single" w:sz="8" w:color="0000EE"/>
            </w:tcBorders>
            <w:vMerge w:val="continue"/>
          </w:tcPr>
          <w:p>
            <w:pPr>
              <w:spacing w:after="0"/>
              <w:rPr>
                <w:sz w:val="5"/>
                <w:szCs w:val="5"/>
                <w:color w:val="auto"/>
              </w:rPr>
            </w:pPr>
          </w:p>
        </w:tc>
        <w:tc>
          <w:tcPr>
            <w:tcW w:w="10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26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64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03/08/2023</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000" w:type="dxa"/>
            <w:vAlign w:val="bottom"/>
            <w:gridSpan w:val="2"/>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9"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03/08/2023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2,910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10.23</w:t>
            </w:r>
          </w:p>
        </w:tc>
        <w:tc>
          <w:tcPr>
            <w:tcW w:w="1200" w:type="dxa"/>
            <w:vAlign w:val="bottom"/>
            <w:tcBorders>
              <w:bottom w:val="single" w:sz="8" w:color="2C2C2C"/>
            </w:tcBorders>
            <w:gridSpan w:val="2"/>
          </w:tcPr>
          <w:p>
            <w:pPr>
              <w:jc w:val="center"/>
              <w:ind w:right="140"/>
              <w:spacing w:after="0"/>
              <w:rPr>
                <w:sz w:val="20"/>
                <w:szCs w:val="20"/>
                <w:color w:val="auto"/>
              </w:rPr>
            </w:pPr>
            <w:r>
              <w:rPr>
                <w:rFonts w:ascii="Times New Roman" w:cs="Times New Roman" w:eastAsia="Times New Roman" w:hAnsi="Times New Roman"/>
                <w:sz w:val="17"/>
                <w:szCs w:val="17"/>
                <w:color w:val="0000FF"/>
              </w:rPr>
              <w:t>3,020,249</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color w:val="0000FF"/>
              </w:rPr>
              <w:t>29,960</w:t>
            </w:r>
            <w:r>
              <w:rPr>
                <w:rFonts w:ascii="Times New Roman" w:cs="Times New Roman" w:eastAsia="Times New Roman" w:hAnsi="Times New Roman"/>
                <w:sz w:val="22"/>
                <w:szCs w:val="22"/>
                <w:color w:val="008000"/>
                <w:vertAlign w:val="superscript"/>
              </w:rPr>
              <w:t>(3)</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ICCA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Labs,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and withholding and remittance obligations in connection with the vesting and net settlement of previously reported restricted stock units.</w:t>
      </w:r>
    </w:p>
    <w:p>
      <w:pPr>
        <w:spacing w:after="0" w:line="7"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1,686,552 shares of the Issuer's common stock underlying 5,059,656 Chess Depositary Interests ("CDIs"). The CDIs are traded on the Australian Securities Exchange (the "ASX") and are held by CHESS Depositary Nominees Pty, Limited, a subsidiary of ASX Limited, thecompany that operates the ASX. Also includes 75,474 restricted stock units, each of which represents a contingent right to receive one share of the Issuer's common stock upon vesting.</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underlying 89,880 CDIs.</w:t>
      </w:r>
    </w:p>
    <w:p>
      <w:pPr>
        <w:spacing w:after="0" w:line="5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member of ICCA Labs, LLC, an entity that holds an aggregate of 133,408 shares of the Issuer's common stock underlying 400,224 CDIs. The number of shares reported herein by the Reporting Person represents his proportionate ownership interest in ICCA Labs, LLC.</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Daniel Menudier, as</w:t>
            </w:r>
          </w:p>
        </w:tc>
        <w:tc>
          <w:tcPr>
            <w:tcW w:w="4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03/08/2023</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2498" TargetMode="External"/><Relationship Id="rId13"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2023-03-10T14:22:06Z</dcterms:created>
  <dcterms:modified xsi:type="dcterms:W3CDTF">2023-03-10T14:22:06Z</dcterms:modified>
</cp:coreProperties>
</file>