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7411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C. Thomas Hopkins</w:t>
      </w:r>
    </w:p>
    <w:p>
      <w:pPr>
        <w:spacing w:after="0" w:line="27" w:lineRule="exact"/>
        <w:rPr>
          <w:sz w:val="24"/>
          <w:szCs w:val="24"/>
          <w:color w:val="auto"/>
        </w:rPr>
      </w:pPr>
    </w:p>
    <w:p>
      <w:pPr>
        <w:ind w:left="204" w:hanging="204"/>
        <w:spacing w:after="0"/>
        <w:tabs>
          <w:tab w:leader="none" w:pos="20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+1 310 883 6417</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thopkins@cooley.com</w:t>
      </w:r>
    </w:p>
    <w:p>
      <w:pPr>
        <w:spacing w:after="0" w:line="32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May 9, 2024</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Ms. Melissa Walsh</w:t>
      </w:r>
    </w:p>
    <w:p>
      <w:pPr>
        <w:spacing w:after="0" w:line="27"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Mr. Stephen Krikorian</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Ms. Aliya Ishmukhamedova</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Mr. Matthew Derby</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Life360, Inc.</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Form 10-K for the Fiscal Year Ended December 31, 2023</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Form 8-K filed February 29, 2024</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 No. 000-56424</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left="4" w:right="140" w:firstLine="440"/>
        <w:spacing w:after="0" w:line="262" w:lineRule="auto"/>
        <w:rPr>
          <w:sz w:val="20"/>
          <w:szCs w:val="20"/>
          <w:color w:val="auto"/>
        </w:rPr>
      </w:pPr>
      <w:r>
        <w:rPr>
          <w:rFonts w:ascii="Times New Roman" w:cs="Times New Roman" w:eastAsia="Times New Roman" w:hAnsi="Times New Roman"/>
          <w:sz w:val="18"/>
          <w:szCs w:val="18"/>
          <w:color w:val="auto"/>
        </w:rPr>
        <w:t>On behalf of our client, Life360,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are responding to the comments of the staff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contained in the letter dated May 7, 2024 (the “</w:t>
      </w:r>
      <w:r>
        <w:rPr>
          <w:rFonts w:ascii="Times New Roman" w:cs="Times New Roman" w:eastAsia="Times New Roman" w:hAnsi="Times New Roman"/>
          <w:sz w:val="18"/>
          <w:szCs w:val="18"/>
          <w:b w:val="1"/>
          <w:bCs w:val="1"/>
          <w:i w:val="1"/>
          <w:iCs w:val="1"/>
          <w:color w:val="auto"/>
        </w:rPr>
        <w:t>Comment Letter</w:t>
      </w:r>
      <w:r>
        <w:rPr>
          <w:rFonts w:ascii="Times New Roman" w:cs="Times New Roman" w:eastAsia="Times New Roman" w:hAnsi="Times New Roman"/>
          <w:sz w:val="18"/>
          <w:szCs w:val="18"/>
          <w:color w:val="auto"/>
        </w:rPr>
        <w:t>”) in relation to the above-captioned Form 10-K for the fiscal year ended December 31, 2023, as filed with the Commission on February 29, 2024 (the “</w:t>
      </w:r>
      <w:r>
        <w:rPr>
          <w:rFonts w:ascii="Times New Roman" w:cs="Times New Roman" w:eastAsia="Times New Roman" w:hAnsi="Times New Roman"/>
          <w:sz w:val="18"/>
          <w:szCs w:val="18"/>
          <w:b w:val="1"/>
          <w:bCs w:val="1"/>
          <w:i w:val="1"/>
          <w:iCs w:val="1"/>
          <w:color w:val="auto"/>
        </w:rPr>
        <w:t>Form 10-K</w:t>
      </w:r>
      <w:r>
        <w:rPr>
          <w:rFonts w:ascii="Times New Roman" w:cs="Times New Roman" w:eastAsia="Times New Roman" w:hAnsi="Times New Roman"/>
          <w:sz w:val="18"/>
          <w:szCs w:val="18"/>
          <w:color w:val="auto"/>
        </w:rPr>
        <w:t>”) and Form 8-K as filed with the Commission on February 29, 2024.</w:t>
      </w:r>
    </w:p>
    <w:p>
      <w:pPr>
        <w:spacing w:after="0" w:line="180" w:lineRule="exact"/>
        <w:rPr>
          <w:sz w:val="24"/>
          <w:szCs w:val="24"/>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Set forth below are the Company’s responses to the Comment Letter. For the convenience of the Staff, the Staff’s comments are repeated below in bold and are followed by the Company’s responses. Page references in the text of this response letter correspond to the page numbers of the Company’s Quarterly Report on Form 10-Q, as filed with the Commission on May 9, 2024 (the “</w:t>
      </w:r>
      <w:r>
        <w:rPr>
          <w:rFonts w:ascii="Times New Roman" w:cs="Times New Roman" w:eastAsia="Times New Roman" w:hAnsi="Times New Roman"/>
          <w:sz w:val="18"/>
          <w:szCs w:val="18"/>
          <w:b w:val="1"/>
          <w:bCs w:val="1"/>
          <w:i w:val="1"/>
          <w:iCs w:val="1"/>
          <w:color w:val="auto"/>
        </w:rPr>
        <w:t>Q1 Form 10-Q</w:t>
      </w:r>
      <w:r>
        <w:rPr>
          <w:rFonts w:ascii="Times New Roman" w:cs="Times New Roman" w:eastAsia="Times New Roman" w:hAnsi="Times New Roman"/>
          <w:sz w:val="18"/>
          <w:szCs w:val="18"/>
          <w:color w:val="auto"/>
        </w:rPr>
        <w:t>”). Capitalized terms used but not defined herein are used herein as defined in the Q1 Form 10-Q or the Company’s media release related to its results for the first quarter of 2024, dated May 9, 2024 (the “</w:t>
      </w:r>
      <w:r>
        <w:rPr>
          <w:rFonts w:ascii="Times New Roman" w:cs="Times New Roman" w:eastAsia="Times New Roman" w:hAnsi="Times New Roman"/>
          <w:sz w:val="18"/>
          <w:szCs w:val="18"/>
          <w:b w:val="1"/>
          <w:bCs w:val="1"/>
          <w:i w:val="1"/>
          <w:iCs w:val="1"/>
          <w:color w:val="auto"/>
        </w:rPr>
        <w:t>Q1 Media Release</w:t>
      </w:r>
      <w:r>
        <w:rPr>
          <w:rFonts w:ascii="Times New Roman" w:cs="Times New Roman" w:eastAsia="Times New Roman" w:hAnsi="Times New Roman"/>
          <w:sz w:val="18"/>
          <w:szCs w:val="18"/>
          <w:color w:val="auto"/>
        </w:rPr>
        <w:t>”), as applicable.</w:t>
      </w:r>
    </w:p>
    <w:p>
      <w:pPr>
        <w:spacing w:after="0" w:line="28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Form 10-K for the Fiscal Year Ended December 31, 2023</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 and marketing of, and access to, our products and services depends...., page 17</w:t>
      </w:r>
    </w:p>
    <w:p>
      <w:pPr>
        <w:spacing w:after="0" w:line="131" w:lineRule="exact"/>
        <w:rPr>
          <w:sz w:val="24"/>
          <w:szCs w:val="24"/>
          <w:color w:val="auto"/>
        </w:rPr>
      </w:pPr>
    </w:p>
    <w:p>
      <w:pPr>
        <w:ind w:left="964" w:hanging="532"/>
        <w:spacing w:after="0" w:line="262" w:lineRule="auto"/>
        <w:tabs>
          <w:tab w:leader="none" w:pos="96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future filings, consider revising to disclose the material terms of your agreements with each of your two major Channel Partners that accounted for 69% of your total revenue in 2023, including the identity, term, and any termination provisions. In addition, file the agreements with these partners as exhibits or tell us why they are not required to be filed. Finally, to the extent material, disclose the total number of Channel partners for each period presented.</w:t>
      </w:r>
    </w:p>
    <w:p>
      <w:pPr>
        <w:sectPr>
          <w:pgSz w:w="11900" w:h="16838" w:orient="portrait"/>
          <w:cols w:equalWidth="0" w:num="1">
            <w:col w:w="11004"/>
          </w:cols>
          <w:pgMar w:left="436" w:top="1080"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7411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May 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acknowledges the Staff’s comment and respectfully advises the Staff that beginning with the Company’s Q1 Form 10-Q, it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disclosure on page 9 of the Q1 Form 10-Q of the identity of its two major Channel Partners, Apple and Google. The Company further advises the Staff that it has a limited number of additional smaller Channel Partners, the total number of which may fluctuate from time to time, and the Company does not believe the number of additional smaller Channel Partners the Company may have in each period presented will be material to investors in understanding the Company’s ability to reach its members.</w:t>
      </w:r>
    </w:p>
    <w:p>
      <w:pPr>
        <w:spacing w:after="0" w:line="18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respectfully advises the Staff that it does not believe its arrangements with these Channel Partners constitute material agreements that are required to be filed. The Company has not entered into unique agreements with these Channel Partners, but rather is subject to the standard policies and terms of service of these third-party platforms, which generally govern the promotion, distribution, content, and operation of applications on such platforms. These terms and conditions apply to any developer publishing applications on these platforms and do not include a term or any termination provisions. As such, the Company is subject to the same standard policies and terms and conditions that apply to almost all application developers on these platforms and does not believe the Company’s particular agreements would be meaningful to investors in understanding the Company’s business. In connection with the preparation of its periodic reports, the Company reviews its disclosures to ensure that it identifies and adequately discusses the material factors that affect its business and operations. For example, in the “Risk Factors” section in Part I, Item 1A of the Company’s Form 10-K, and Part II, Item 1A of the Q1 Form 10-Q, the Company has included under the header, “</w:t>
      </w:r>
      <w:r>
        <w:rPr>
          <w:rFonts w:ascii="Times New Roman" w:cs="Times New Roman" w:eastAsia="Times New Roman" w:hAnsi="Times New Roman"/>
          <w:sz w:val="18"/>
          <w:szCs w:val="18"/>
          <w:i w:val="1"/>
          <w:iCs w:val="1"/>
          <w:color w:val="auto"/>
        </w:rPr>
        <w:t>Distribution and marketing of, and access to, our products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 depends, in significant part, on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r>
        <w:rPr>
          <w:rFonts w:ascii="Times New Roman" w:cs="Times New Roman" w:eastAsia="Times New Roman" w:hAnsi="Times New Roman"/>
          <w:sz w:val="18"/>
          <w:szCs w:val="18"/>
          <w:color w:val="auto"/>
        </w:rPr>
        <w:t>” information with respect to the Company’s arrangements with these Channel Partners and the most significant risks it faces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therewith. Accordingly, the Company believes that these arrangements do not constitute material agreements that are required to be filed and that the material information regarding these relationships is adequately described throughout the Company’s filings with the Commission.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Segment and Geographic Revenue, page 94</w:t>
      </w:r>
    </w:p>
    <w:p>
      <w:pPr>
        <w:spacing w:after="0" w:line="131" w:lineRule="exact"/>
        <w:rPr>
          <w:sz w:val="20"/>
          <w:szCs w:val="20"/>
          <w:color w:val="auto"/>
        </w:rPr>
      </w:pPr>
    </w:p>
    <w:p>
      <w:pPr>
        <w:ind w:left="960" w:right="140" w:hanging="532"/>
        <w:spacing w:after="0" w:line="286" w:lineRule="auto"/>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your disclosure of revenue by geography, please revise future filings to disclose revenue attributed to your country of domicile. Refer to ASC 280-10-50-1(a).</w:t>
      </w:r>
    </w:p>
    <w:p>
      <w:pPr>
        <w:spacing w:after="0" w:line="15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beginning with the Q1 Form 10-Q, the Company has revised the disclosure on page 10 of the Q1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10-Q.</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Security Ownership of Certain Beneficial Owners and Management, page 121</w:t>
      </w:r>
    </w:p>
    <w:p>
      <w:pPr>
        <w:spacing w:after="0" w:line="131" w:lineRule="exact"/>
        <w:rPr>
          <w:sz w:val="20"/>
          <w:szCs w:val="20"/>
          <w:color w:val="auto"/>
        </w:rPr>
      </w:pPr>
    </w:p>
    <w:p>
      <w:pPr>
        <w:ind w:left="960" w:right="20" w:hanging="532"/>
        <w:spacing w:after="0" w:line="286" w:lineRule="auto"/>
        <w:tabs>
          <w:tab w:leader="none" w:pos="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future filings, revise to provide the natural person(s) who have voting and dispositive control over the shares owned by Paradice Investment Management Pty Ltd and Regal Funds Management Pty Limited, or tell us why it is not required.</w:t>
      </w:r>
    </w:p>
    <w:p>
      <w:pPr>
        <w:spacing w:after="0" w:line="15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acknowledges the Staff’s comment, and to the extent applicable, will revise the disclosure in future filings beginning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Annual Report on Form 10-K for the year ended December 31, 2024, to provide the natural persons who have voting and dispositive control over the shares owned by Paradice Investment Management Pty Ltd and Regal Funds Management Pty Limited.</w:t>
      </w:r>
    </w:p>
    <w:p>
      <w:pPr>
        <w:sectPr>
          <w:pgSz w:w="11900" w:h="16838" w:orient="portrait"/>
          <w:cols w:equalWidth="0" w:num="1">
            <w:col w:w="11000"/>
          </w:cols>
          <w:pgMar w:left="440" w:top="98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7411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May 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8-K filed February 29,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 Media release of the Registrant dated February 29, 2024 (U.S. Time)</w:t>
      </w:r>
    </w:p>
    <w:p>
      <w:pPr>
        <w:spacing w:after="0" w:line="131" w:lineRule="exact"/>
        <w:rPr>
          <w:sz w:val="20"/>
          <w:szCs w:val="20"/>
          <w:color w:val="auto"/>
        </w:rPr>
      </w:pPr>
    </w:p>
    <w:p>
      <w:pPr>
        <w:ind w:left="960" w:right="240" w:hanging="532"/>
        <w:spacing w:after="0" w:line="286" w:lineRule="auto"/>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presentation of non-GAAP financial measures under the subheading of Key Financial Metrics. Please address the following:</w:t>
      </w:r>
    </w:p>
    <w:p>
      <w:pPr>
        <w:spacing w:after="0" w:line="60" w:lineRule="exact"/>
        <w:rPr>
          <w:rFonts w:ascii="Times New Roman" w:cs="Times New Roman" w:eastAsia="Times New Roman" w:hAnsi="Times New Roman"/>
          <w:sz w:val="18"/>
          <w:szCs w:val="18"/>
          <w:b w:val="1"/>
          <w:bCs w:val="1"/>
          <w:color w:val="auto"/>
        </w:rPr>
      </w:pPr>
    </w:p>
    <w:p>
      <w:pPr>
        <w:ind w:left="1420" w:right="700" w:hanging="439"/>
        <w:spacing w:after="0" w:line="286" w:lineRule="auto"/>
        <w:tabs>
          <w:tab w:leader="none" w:pos="142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refrain from referring to these non-GAAP measures as “Key Financial Metrics.” Refer to Question 100.05 of Non-GAAP Financial Measures Compliance &amp; Disclosure Interpretations;</w:t>
      </w:r>
    </w:p>
    <w:p>
      <w:pPr>
        <w:spacing w:after="0" w:line="15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beginning with the Company’s Q1 Media Release, the Company has revised its disclosure to delete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to “Key Financial Metrics” when referring to non-GAAP measures.</w:t>
      </w:r>
    </w:p>
    <w:p>
      <w:pPr>
        <w:spacing w:after="0" w:line="60" w:lineRule="exact"/>
        <w:rPr>
          <w:sz w:val="20"/>
          <w:szCs w:val="20"/>
          <w:color w:val="auto"/>
        </w:rPr>
      </w:pPr>
    </w:p>
    <w:p>
      <w:pPr>
        <w:ind w:left="1420" w:right="260" w:hanging="439"/>
        <w:spacing w:after="0" w:line="268" w:lineRule="auto"/>
        <w:tabs>
          <w:tab w:leader="none" w:pos="1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include the directly comparable GAAP financial measure with greater or equal prominence for each non-GAAP measure presented in the table. Refer to Item 10(e)(1)(i)(A) of Regulation S-K and Question 102.10(a) of Non-GAAP Financial Measures Compliance &amp; Disclosure Interpretations;</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beginning with the Q1 Media Release, the Company has revised its disclosure to remove the table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subheading of “Key Financial Metrics”.</w:t>
      </w:r>
    </w:p>
    <w:p>
      <w:pPr>
        <w:spacing w:after="0" w:line="60" w:lineRule="exact"/>
        <w:rPr>
          <w:sz w:val="20"/>
          <w:szCs w:val="20"/>
          <w:color w:val="auto"/>
        </w:rPr>
      </w:pPr>
    </w:p>
    <w:p>
      <w:pPr>
        <w:ind w:left="1420" w:right="520" w:hanging="439"/>
        <w:spacing w:after="0" w:line="286" w:lineRule="auto"/>
        <w:tabs>
          <w:tab w:leader="none" w:pos="1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 an explanation of the usefulness of each of these non-GAAP financial measures. Refer to Item 10(e)(1)(i)(C) of Regulation S-K;</w:t>
      </w:r>
    </w:p>
    <w:p>
      <w:pPr>
        <w:spacing w:after="0" w:line="15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beginning with the Q1 Media Release, the Company has revised its disclosure to include an explanation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usefulness of each non-GAAP financial measure.</w:t>
      </w:r>
    </w:p>
    <w:p>
      <w:pPr>
        <w:spacing w:after="0" w:line="60" w:lineRule="exact"/>
        <w:rPr>
          <w:sz w:val="20"/>
          <w:szCs w:val="20"/>
          <w:color w:val="auto"/>
        </w:rPr>
      </w:pPr>
    </w:p>
    <w:p>
      <w:pPr>
        <w:ind w:left="1420" w:right="140" w:hanging="439"/>
        <w:spacing w:after="0" w:line="259" w:lineRule="auto"/>
        <w:tabs>
          <w:tab w:leader="none" w:pos="1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Ensure you include a reconciliation from the GAAP financial measure to the non-GAAP financial measure for each of the non-GAAP financial measures presented, including non-GAAP U.S. subscription revenue, non-GAAP international subscription revenue, non-GAAP user acquisition and TV costs, non-GAAP other Sales and Marketing, and non-GAAP commissions, as well as a GAAP to non-GAAP reconciliation of each of the non-GAAP revenue measures presented for the year ended December 31, 2023. Refer to Item 10(e)(1)(i)(B) of Regulation S-K; and</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beginning with the Q1 Media Release, the Company has revised its disclosure to include a reconciliation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GAAP financial measure to the non-GAAP financial measure for each of the non-GAAP financial measures presented.</w:t>
      </w:r>
    </w:p>
    <w:p>
      <w:pPr>
        <w:spacing w:after="0" w:line="60" w:lineRule="exact"/>
        <w:rPr>
          <w:sz w:val="20"/>
          <w:szCs w:val="20"/>
          <w:color w:val="auto"/>
        </w:rPr>
      </w:pPr>
    </w:p>
    <w:p>
      <w:pPr>
        <w:ind w:left="1420" w:right="60" w:hanging="439"/>
        <w:spacing w:after="0" w:line="262" w:lineRule="auto"/>
        <w:tabs>
          <w:tab w:leader="none" w:pos="1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Explain what consideration you gave to whether the non-GAAP hardware bundling adjustments have the effect of changing the recognition and measurement principles required to be applied in accordance with GAAP, which would be considered individually tailored and may cause the presentation of the non-GAAP measures to be misleading. Refer to Question 100.04 of Non-GAAP Financial Measures Compliance &amp; Disclosure Interpretations.</w:t>
      </w:r>
    </w:p>
    <w:p>
      <w:pPr>
        <w:sectPr>
          <w:pgSz w:w="11900" w:h="16838" w:orient="portrait"/>
          <w:cols w:equalWidth="0" w:num="1">
            <w:col w:w="10960"/>
          </w:cols>
          <w:pgMar w:left="440" w:top="98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74115" cy="385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5445"/>
                    </a:xfrm>
                    <a:prstGeom prst="rect">
                      <a:avLst/>
                    </a:prstGeom>
                    <a:noFill/>
                  </pic:spPr>
                </pic:pic>
              </a:graphicData>
            </a:graphic>
          </wp:anchor>
        </w:drawing>
        <w:t>May 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acknowledges the Staff’s comment and respectfully advises the Staff that it believes it is in compliance with Question 100.04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Compliance &amp; Disclosure Interpretations related to Non-GAAP Financial Measures and does not believe it has utilized an individually tailored accounting principle. Additionally, the Company’s non-GAAP hardware bundling adjustments are not intended to change recognition and measurement principles required to be applied in accordance with GAAP, but rather to provide additional detail on the components of GAAP revenue and underlying drivers of the business.</w:t>
      </w:r>
    </w:p>
    <w:p>
      <w:pPr>
        <w:spacing w:after="0" w:line="1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 introduced bundled Life360 subscription and hardware offerings in the second quarter of 2023. Under GAAP, revenue associated with members in Paying Circles who sign up for bundled subscriptions is required to be allocated between subscription and hardware revenue based on the relative stand-alone selling price (“SSP”) of the separate performance obligations. Revenue allocated to ongoing subscription service is deferred and recognized over a period of time and amounts allocated to hardware are recognized at a point in time. As a result, the recurring subscription revenue attributed to Life360 paying subscribers is reduced for the portion of the offering at signup related to hardware, driving economic misalignment between the recognized subscription revenue and potential future recurring revenue associated with each paying subscriber. The Company believes that investors are focused on analyzing subscription revenue trends across periods, rather than assessing the single-period impacts of revenue allocated to hardware when new subscribers purchase a bundled subscription. Accordingly, in order to allow investors to more meaningfully compare the Company’s revenues originating from paying subscribers across periods, the Company presents non-GAAP subscription revenue, which reverses the impact of allocated hardware revenue due to bundled offerings, in addition to the bundled GAAP subscription revenue. The Company believes these metrics, and their related components, are useful for investors to more easily understand the dynamics associated with bundling and subscription growth and that the Company’s non-GAAP hardware bundling adjustments allow investors to analyze how the Company’s primary subscription business, which is comprised predominantly of monthly subscriptions, has performed over time on a comparable basis to periods before the Company introduced its bundled offerings and between periods where bundled offerings may vary. As a result, investors are able to gain additional insights into the underlying trends in the Company’s business, as compared to its historical practice. Specifically, the underlying key performance indicators derived from non-GAAP revenue, including Average Revenue per Paying Circle (ARPPC) and Average Revenue per Paying Subscription (ARPPS), are useful measures for investors to determine the Company’s effectiveness at monetizing Paying Circles through tiered product offerings and to measure annualized total subscription revenue recognized and derived from Life360, Tile and Jiobit subscriptions on a per subscriber basis, that if calculated on a GAAP basis would introduce variability within these measures and not reflect the underlying trends for assessing the subscription business. In addition, the use of these adjustments provides investors with an understanding of how management evaluates the performance of the Company’s business, including member growth and pricing considering long-term goals and related assumptions. Importantly, the Company’s management team uses these adjusted measures internally to make operating decisions, including those related to operating expenses, evaluate performance, and perform strategic planning and annual budgeting. The Company has provided a reconciliation of these non-GAAP metrics to the comparable GAAP metrics to allow investors and analysts to bridge between GAAP and Non-GAAP.</w:t>
      </w:r>
    </w:p>
    <w:p>
      <w:pPr>
        <w:spacing w:after="0" w:line="205" w:lineRule="exact"/>
        <w:rPr>
          <w:sz w:val="20"/>
          <w:szCs w:val="20"/>
          <w:color w:val="auto"/>
        </w:rPr>
      </w:pPr>
    </w:p>
    <w:p>
      <w:pPr>
        <w:jc w:val="center"/>
        <w:ind w:right="-19"/>
        <w:spacing w:after="0"/>
        <w:tabs>
          <w:tab w:leader="none" w:pos="120" w:val="left"/>
          <w:tab w:leader="none" w:pos="120" w:val="left"/>
          <w:tab w:leader="none" w:pos="100" w:val="left"/>
          <w:tab w:leader="none" w:pos="160" w:val="left"/>
        </w:tabs>
        <w:rPr>
          <w:sz w:val="20"/>
          <w:szCs w:val="20"/>
          <w:color w:val="auto"/>
        </w:rPr>
      </w:pPr>
      <w:r>
        <w:rPr>
          <w:rFonts w:ascii="Times New Roman" w:cs="Times New Roman" w:eastAsia="Times New Roman" w:hAnsi="Times New Roman"/>
          <w:sz w:val="18"/>
          <w:szCs w:val="18"/>
          <w:color w:val="auto"/>
        </w:rPr>
        <w:t xml:space="preserve">* </w:t>
        <w:tab/>
        <w:t> </w:t>
        <w:tab/>
        <w:t xml:space="preserve">* </w:t>
        <w:tab/>
        <w:t> </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0980"/>
          </w:cols>
          <w:pgMar w:left="440" w:top="985" w:right="47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74115" cy="385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5445"/>
                    </a:xfrm>
                    <a:prstGeom prst="rect">
                      <a:avLst/>
                    </a:prstGeom>
                    <a:noFill/>
                  </pic:spPr>
                </pic:pic>
              </a:graphicData>
            </a:graphic>
          </wp:anchor>
        </w:drawing>
        <w:t>May 9, 2024</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Five</w:t>
      </w:r>
    </w:p>
    <w:p>
      <w:pPr>
        <w:spacing w:after="0" w:line="139" w:lineRule="exact"/>
        <w:rPr>
          <w:sz w:val="20"/>
          <w:szCs w:val="20"/>
          <w:color w:val="auto"/>
        </w:rPr>
      </w:pPr>
    </w:p>
    <w:p>
      <w:pPr>
        <w:ind w:left="4" w:right="179"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response letter, please contact the undersigned by phone at (310) 883 6417 or via e-mail at thopkins@cooley.com.</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C. Thomas Hopkins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 Thomas Hopkins</w:t>
      </w:r>
    </w:p>
    <w:p>
      <w:pPr>
        <w:spacing w:after="0" w:line="252" w:lineRule="exact"/>
        <w:rPr>
          <w:sz w:val="20"/>
          <w:szCs w:val="20"/>
          <w:color w:val="auto"/>
        </w:rPr>
      </w:pPr>
    </w:p>
    <w:p>
      <w:pPr>
        <w:ind w:left="544" w:right="5679" w:hanging="544"/>
        <w:spacing w:after="0" w:line="276" w:lineRule="auto"/>
        <w:tabs>
          <w:tab w:leader="none" w:pos="53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 Hulls, Chief Executive Officer, Life360, Inc. Russell Burke, Chief Financial Officer, Life360, Inc.</w:t>
      </w:r>
    </w:p>
    <w:p>
      <w:pPr>
        <w:ind w:left="544" w:right="4519"/>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Susan Stick, General Counsel and Corporate Secretary, Life360, Inc. Natalie Y. Karam, Cooley LLP</w:t>
      </w:r>
    </w:p>
    <w:p>
      <w:pPr>
        <w:jc w:val="both"/>
        <w:ind w:left="544" w:right="7459"/>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Siana Lowrey, Cooley LLP Dave Peinsipp, Cooley LLP</w:t>
      </w:r>
    </w:p>
    <w:sectPr>
      <w:pgSz w:w="11900" w:h="16838" w:orient="portrait"/>
      <w:cols w:equalWidth="0" w:num="1">
        <w:col w:w="10023"/>
      </w:cols>
      <w:pgMar w:left="436" w:top="9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0"/>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decimal"/>
      <w:start w:val="4"/>
    </w:lvl>
    <w:lvl w:ilvl="1">
      <w:lvlJc w:val="left"/>
      <w:lvlText w:val="%2."/>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4"/>
    </w:lvl>
  </w:abstractNum>
  <w:abstractNum w:abstractNumId="8">
    <w:nsid w:val="12200854"/>
    <w:multiLevelType w:val="hybridMultilevel"/>
    <w:lvl w:ilvl="0">
      <w:lvlJc w:val="left"/>
      <w:lvlText w:val="%1."/>
      <w:numFmt w:val="lowerLetter"/>
      <w:start w:val="5"/>
    </w:lvl>
  </w:abstractNum>
  <w:abstractNum w:abstractNumId="9">
    <w:nsid w:val="4DB127F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2024-07-01T23:09:49Z</dcterms:created>
  <dcterms:modified xsi:type="dcterms:W3CDTF">2024-07-01T23:09:49Z</dcterms:modified>
</cp:coreProperties>
</file>