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Wiadrowski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8,366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21,373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the full exercise by the underwriters of a greenshoe option of the previously reported underwritten secondary offering that closed on June 7, 2024.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8,860 restricted stock units, each of which represents a contingent right to receive one share of the Issuer's common stock upon vesting.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common stock and the number of common stock underlying Chess Depositary Interests ("CDIs") as converted on a 1:3 common stock to CDI ratio. The CDIs are traded on the Australian Securities Exchange (the "ASX") and are held by CHESS Depositary Nominees Pty, Limited, a subsidiary of ASX Limited, the company that operates the ASX.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Jay Sood, Attorney-in-Fact  06/20/2024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2666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2024-06-20T13:39:01Z</dcterms:created>
  <dcterms:modified xsi:type="dcterms:W3CDTF">2024-06-20T13:39:01Z</dcterms:modified>
</cp:coreProperties>
</file>