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Antonoff Lauren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07/24/2025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 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4,546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307,778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4 was effected pursuant to a Rule 10b5-1 trading plan adopted by the Reporting Person on November 27, 2024.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205,974 restricted stock units previously granted, each of which represents a contingent right to receive one share of the Issuer's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Allison Chang,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2029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2025-07-25T16:19:49Z</dcterms:created>
  <dcterms:modified xsi:type="dcterms:W3CDTF">2025-07-25T16:19:49Z</dcterms:modified>
</cp:coreProperties>
</file>