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22, 2022</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Life360,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540" w:type="dxa"/>
        <w:tblCellMar>
          <w:top w:w="0" w:type="dxa"/>
          <w:left w:w="0" w:type="dxa"/>
          <w:bottom w:w="0" w:type="dxa"/>
          <w:right w:w="0" w:type="dxa"/>
        </w:tblCellMar>
      </w:tblPr>
      <w:tr>
        <w:trPr>
          <w:trHeight w:val="216"/>
        </w:trPr>
        <w:tc>
          <w:tcPr>
            <w:tcW w:w="422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6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rPr>
              <w:t>26-0197666</w:t>
            </w:r>
          </w:p>
        </w:tc>
      </w:tr>
      <w:tr>
        <w:trPr>
          <w:trHeight w:val="216"/>
        </w:trPr>
        <w:tc>
          <w:tcPr>
            <w:tcW w:w="422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26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2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26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539 Bryant Street, Suite 402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 94107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2011 Stock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Kirsten Daru</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Privacy Officer, General Counsel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539 Bryant Street, Suite 402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 94107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(415) 484-5244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Accelerated filer</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0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0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7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1O(A) PROSPECTUS</w:t>
      </w:r>
    </w:p>
    <w:p>
      <w:pPr>
        <w:spacing w:after="0" w:line="2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Part I will be delivered to the participants holding the equity awards covered by this registration statement on Form S-8 (the “Registration Statement”) as required by Rule 428(b)(1) of the Securities Act of 1933, as amended (the “Securities Act”). Such documents are not required to be filed with the Securities and Exchange Commission (the “Commission”) as part of this Registration Statement.</w:t>
      </w:r>
    </w:p>
    <w:p>
      <w:pPr>
        <w:spacing w:after="0" w:line="180"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will furnish without charge to each person to whom documents containing the information specified in this Part I will be delivered, upon the written or oral request of such person, a copy of any and all of the documents incorporated by reference in Item 3 of Part II of this Registration Statement, other than exhibits to such documents (unless such exhibits are specifically incorporated by reference to the information that is incorporated) and any other documents required to be delivered pursuant to Rule 428(b). Those documents are incorporated by reference in the Section 10(a) prospectus. Requests should be directed to: Kirsten Daru, Chief Privacy Officer, General Counsel and Corporate Secretary, Life360, Inc., 539 Bryant Street, Suite 402, San Francisco, CA 94107, (415) 484-5244.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360, Inc. (the “Registrant”) hereby incorporates by reference into this Registration Statement the following documents previously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the Securities Exchange Act of 1934, as amended (the “Exchange Act”):</w:t>
      </w:r>
    </w:p>
    <w:p>
      <w:pPr>
        <w:spacing w:after="0" w:line="207" w:lineRule="exact"/>
        <w:rPr>
          <w:sz w:val="20"/>
          <w:szCs w:val="20"/>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Registration Statement on </w:t>
      </w:r>
      <w:hyperlink r:id="rId18">
        <w:r>
          <w:rPr>
            <w:rFonts w:ascii="Times New Roman" w:cs="Times New Roman" w:eastAsia="Times New Roman" w:hAnsi="Times New Roman"/>
            <w:sz w:val="18"/>
            <w:szCs w:val="18"/>
            <w:u w:val="single" w:color="auto"/>
            <w:color w:val="0000EE"/>
          </w:rPr>
          <w:t>Form 10</w:t>
        </w:r>
      </w:hyperlink>
      <w:r>
        <w:rPr>
          <w:rFonts w:ascii="Times New Roman" w:cs="Times New Roman" w:eastAsia="Times New Roman" w:hAnsi="Times New Roman"/>
          <w:sz w:val="18"/>
          <w:szCs w:val="18"/>
          <w:color w:val="auto"/>
        </w:rPr>
        <w:t xml:space="preserve">, filed on April 26, 2022, as amended by </w:t>
      </w:r>
      <w:hyperlink r:id="rId19">
        <w:r>
          <w:rPr>
            <w:rFonts w:ascii="Times New Roman" w:cs="Times New Roman" w:eastAsia="Times New Roman" w:hAnsi="Times New Roman"/>
            <w:sz w:val="18"/>
            <w:szCs w:val="18"/>
            <w:u w:val="single" w:color="auto"/>
            <w:color w:val="0000EE"/>
          </w:rPr>
          <w:t>Amendment No. 1</w:t>
        </w:r>
      </w:hyperlink>
      <w:r>
        <w:rPr>
          <w:rFonts w:ascii="Times New Roman" w:cs="Times New Roman" w:eastAsia="Times New Roman" w:hAnsi="Times New Roman"/>
          <w:sz w:val="18"/>
          <w:szCs w:val="18"/>
          <w:color w:val="auto"/>
        </w:rPr>
        <w:t xml:space="preserve">, filed on June 13, 2022, and </w:t>
      </w:r>
      <w:hyperlink r:id="rId20">
        <w:r>
          <w:rPr>
            <w:rFonts w:ascii="Times New Roman" w:cs="Times New Roman" w:eastAsia="Times New Roman" w:hAnsi="Times New Roman"/>
            <w:sz w:val="18"/>
            <w:szCs w:val="18"/>
            <w:u w:val="single" w:color="auto"/>
            <w:color w:val="0000EE"/>
          </w:rPr>
          <w:t>Amendment No. 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on July 5, 2022, and effective as of June 27, 2022, which contains audited consolidated financial statements for the most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recent fiscal year for which such statements have been filed;</w:t>
      </w:r>
    </w:p>
    <w:p>
      <w:pPr>
        <w:spacing w:after="0" w:line="202"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on Form 10-Q for the fiscal quarters ended </w:t>
      </w:r>
      <w:hyperlink r:id="rId21">
        <w:r>
          <w:rPr>
            <w:rFonts w:ascii="Times New Roman" w:cs="Times New Roman" w:eastAsia="Times New Roman" w:hAnsi="Times New Roman"/>
            <w:sz w:val="18"/>
            <w:szCs w:val="18"/>
            <w:u w:val="single" w:color="auto"/>
            <w:color w:val="0000EE"/>
          </w:rPr>
          <w:t>September 30,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 filed on November 14, 2022 and August 15, 2022, respectively;</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on </w:t>
      </w:r>
      <w:hyperlink r:id="rId23">
        <w:r>
          <w:rPr>
            <w:rFonts w:ascii="Times New Roman" w:cs="Times New Roman" w:eastAsia="Times New Roman" w:hAnsi="Times New Roman"/>
            <w:sz w:val="18"/>
            <w:szCs w:val="18"/>
            <w:u w:val="single" w:color="auto"/>
            <w:color w:val="0000EE"/>
          </w:rPr>
          <w:t>July 21,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4">
        <w:r>
          <w:rPr>
            <w:rFonts w:ascii="Times New Roman" w:cs="Times New Roman" w:eastAsia="Times New Roman" w:hAnsi="Times New Roman"/>
            <w:sz w:val="18"/>
            <w:szCs w:val="18"/>
            <w:u w:val="single" w:color="auto"/>
            <w:color w:val="0000EE"/>
          </w:rPr>
          <w:t>November 21,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under Items 2.02 or 7.01, or corresponding information furnished under Item 9.01 or included as an exhibit);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in </w:t>
      </w:r>
      <w:hyperlink r:id="rId25">
        <w:r>
          <w:rPr>
            <w:rFonts w:ascii="Times New Roman" w:cs="Times New Roman" w:eastAsia="Times New Roman" w:hAnsi="Times New Roman"/>
            <w:sz w:val="18"/>
            <w:szCs w:val="18"/>
            <w:u w:val="single" w:color="auto"/>
            <w:color w:val="0000EE"/>
          </w:rPr>
          <w:t>Item 11 to the Registrant’s Amendment No. 2 to Registration Statement on Form 10</w:t>
        </w:r>
      </w:hyperlink>
      <w:r>
        <w:rPr>
          <w:rFonts w:ascii="Times New Roman" w:cs="Times New Roman" w:eastAsia="Times New Roman" w:hAnsi="Times New Roman"/>
          <w:sz w:val="18"/>
          <w:szCs w:val="18"/>
          <w:color w:val="auto"/>
        </w:rPr>
        <w:t>, filed with the Commission on July 5, 2022 pursuant to Section 12(g) of the Exchange Act, including any amendment or report filed for the purpose of updating such description.</w:t>
      </w:r>
    </w:p>
    <w:p>
      <w:pPr>
        <w:spacing w:after="0" w:line="176"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reports and definitive proxy or information statements filed by the Registrant on or after the date of this Registration Statement pursuant to Sections 13(a), 13(c), 14 and 15(d) of the Exchange Act (other than Current Reports furnished under Item 2.02 or Item 7.01 of Form 8-K and exhibits furnished on such form that relate to such items), shall be deemed incorporated by reference in this Registration Statement and to be a part hereof from the date of filing such documents until a post-effective amendment of this Registration Statement is filed which indicates that all securities being offered hereby have been sold or which deregisters all securities then remaining unsold.</w:t>
      </w:r>
    </w:p>
    <w:p>
      <w:pPr>
        <w:spacing w:after="0" w:line="183"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102(b)(7) of the General Corporation Law of the State of Delaware (the “DGCL”) generally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for (i) with respect to directors and officers, any breach of the director’s or officer’s duty of loyalty to the corporation or its stockholders, (ii) with respect to directors and officers, acts or omissions not in good faith or which involve intentional misconduct or a knowing violation of law, (iii) with respect to directors, payments of unlawful dividends or unlawful stock repurchases or redemptions under Section 174 of the DGCL, (iv) with respect to directors and officers, any transaction from which the director or officer derived an improper personal benefit, or (v) with respect to officers, any action by or in the right of the corporation.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145 of the DGCL provides that a corporation may indemnify any person who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settlement amounts actually and reasonably incurred in connection with specified actions, suits, or proceedings brought by third parties, whether civil, criminal, administrative, or investigative (collectively, “Proceedings”), if the individuals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and actions brought directly by the corporation, except that indemnification only extends to expenses (including attorneys’ fees) actually and reasonably incurred in connection with the defense or settlement of such actions, and the statute requires court approval before there can be any indemnification of such expenses if the person seeking indemnification has been found liable to the corporation.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among other things, Section 145 of the DGCL generally:</w:t>
      </w:r>
    </w:p>
    <w:p>
      <w:pPr>
        <w:spacing w:after="0" w:line="225" w:lineRule="exact"/>
        <w:rPr>
          <w:sz w:val="20"/>
          <w:szCs w:val="20"/>
          <w:color w:val="auto"/>
        </w:rPr>
      </w:pPr>
    </w:p>
    <w:p>
      <w:pPr>
        <w:jc w:val="both"/>
        <w:ind w:left="1300" w:hanging="320"/>
        <w:spacing w:after="0" w:line="261"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indemnification against expenses (including attorneys’ fees) actually and reasonably incurred by directors and officers, and permits the same for other employees and agents, to the extent they have been successful, on the merits or otherwise, in defending an action, suit, or proceeding or in defense of any claim, issue or matter therein (whether brought by a third party or by or on behalf of the corporation);</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 corporation to pay expenses of defense in advance of the final disposition of an action, suit, or proceeding upon receipt (in the case of a current director or officer) of an undertaking to repay any amounts advanced if it is ultimately determined that the director or officer is not entitled to be indemnified;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it is not exclusive of other indemnification and advancement of expenses that may be granted by a corporation’s bylaws, disinterested director vote, stockholder vote, agreement, or otherwise;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a corporation generally has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of the DGCL.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Article IX of the Registrant’s Amended and Restated Certificate of Incorporation (the “certificate of incorporation”) contains provisions providing for limitations of director, but not officer, liabilities for monetary damages for breach of fiduciary duties to the fullest extent permitted under the DGCL and indemnification of and advancement of expenses to its directors, officers, employees and agents to the fullest extent permitted under the DGCL and further provides that any amendment to or repeal of such Article IX or the adoption of any provision of the certificate of incorporation inconsistent with Article IX shall not eliminate or reduce the effect of the indemnification or limitation of liability provided in Article IX in respect of any matter occurring, or any action or proceeding accruing or arising or that, but for Article IX, would accrue or arise, prior to such amendment, repeal or adoption of an inconsistent provision.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Article VI Section 6.1 of the Registrant’s Bylaws (the “bylaws”) requires indemnification for anyone who is or was a director or officer of the Registrant (or who (i) is or was serving at the request of the Registrant as a director or officer of another corporation, partnership, joint venture, trust or other enterprise or (ii) was a director or officer of a corporation which was a predecessor corporation of the Registrant or of another enterprise at the request of such predecessor corporation) to the full extent permitted under the DGCL against expenses (including attorneys’ fees), judgments, fines, settlements and other amounts actually and reasonably incurred in connection with any Proceeding, arising by reason of the fact that such person is or was an agent of the Registrant (collectively, “Expenses”), and Article VI Section 6.2 of the Registrant’s bylaws permits indemnification for anyone who is an employee or agent (other than a director and officer) (or who (i) is or was an employee or agent of the Registrant, (ii) is or was serving at the request of the Registrant as an employee or agent of another corporation, partnership, joint venture, trust or other enterprise, or (iii) was an employee or agent of a corporation which was a predecessor corporation of the Registrant or of another enterprise at the request of such predecessor corporation) against Expenses; provided, however, that the Registrant shall indemnify any such person seeking indemnification in connection with a Proceeding initiated by such person only if the Proceeding was authorized by the board of directors of the Registrant.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directors, officers and employees and agents for whom indemnification is permitted have the right under Article VI Section 6.3 of the bylaws to be paid Expenses incurred in defending any such Proceeding in advance of its final disposition upon receipt of an undertaking by or on behalf of the indemnified party to repay such amount, if it is ultimately determined by final judicial decision from which there is no further right to appeal, that the indemnified party is not entitled to be indemnified as authorized in Article VI of the bylaws. The Registrant has entered into form indemnification agreements with its directors and certain of its officers. Among other things, and subject to certain limitations, the form indemnification agreements provide for advancement and indemnification, within the bounds of Delaware law, for losses directors and officers may incur in connection with or arising out of the performance of their duties.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Article VI Section 6.5 of the bylaws also provides that the Registrant may purchase and maintain insurance to protect any person who is or was a director, officer, employee or agent of the Registrant (including to the extent they are or were serving at the request of the Registrant as a director, officer, employee, or agent of another corporation or of a partnership, joint venture, trust, or other enterprise) against any liability asserted against him or her and incurred by him or her in any such capacity, or arising out of his or her status as such, whether or not the Registrant would have the power to indemnify such person against such liability under the DGCL. The Registrant accordingly maintains standard director and officer insurance policies which insure its directors and officers against certain liabilities.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summaries are necessarily subject to the complete text of the referenced sections of the DGCL, the certificate of incorporation, the bylaws, and the form indemnification agreements and are qualified in their entirety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Exhibit No.</w:t>
            </w:r>
          </w:p>
        </w:tc>
        <w:tc>
          <w:tcPr>
            <w:tcW w:w="3480" w:type="dxa"/>
            <w:vAlign w:val="bottom"/>
          </w:tcPr>
          <w:p>
            <w:pPr>
              <w:spacing w:after="0"/>
              <w:rPr>
                <w:sz w:val="20"/>
                <w:szCs w:val="20"/>
                <w:color w:val="auto"/>
              </w:rPr>
            </w:pPr>
          </w:p>
        </w:tc>
        <w:tc>
          <w:tcPr>
            <w:tcW w:w="640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385"/>
        </w:trPr>
        <w:tc>
          <w:tcPr>
            <w:tcW w:w="460" w:type="dxa"/>
            <w:vAlign w:val="bottom"/>
            <w:tcBorders>
              <w:top w:val="single" w:sz="8" w:color="auto"/>
            </w:tcBorders>
            <w:gridSpan w:val="2"/>
          </w:tcPr>
          <w:p>
            <w:pPr>
              <w:spacing w:after="0"/>
              <w:rPr>
                <w:sz w:val="24"/>
                <w:szCs w:val="24"/>
                <w:color w:val="auto"/>
              </w:rPr>
            </w:pPr>
          </w:p>
        </w:tc>
        <w:tc>
          <w:tcPr>
            <w:tcW w:w="220" w:type="dxa"/>
            <w:vAlign w:val="bottom"/>
            <w:tcBorders>
              <w:top w:val="single" w:sz="8" w:color="auto"/>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Opinion of Orrick, Herrington &amp; Sutcliffe LLP*</w:t>
            </w:r>
          </w:p>
        </w:tc>
        <w:tc>
          <w:tcPr>
            <w:tcW w:w="6400" w:type="dxa"/>
            <w:vAlign w:val="bottom"/>
            <w:tcBorders>
              <w:top w:val="single" w:sz="8" w:color="auto"/>
            </w:tcBorders>
            <w:gridSpan w:val="9"/>
          </w:tcPr>
          <w:p>
            <w:pPr>
              <w:spacing w:after="0"/>
              <w:rPr>
                <w:sz w:val="24"/>
                <w:szCs w:val="24"/>
                <w:color w:val="auto"/>
              </w:rPr>
            </w:pPr>
          </w:p>
        </w:tc>
      </w:tr>
      <w:tr>
        <w:trPr>
          <w:trHeight w:val="412"/>
        </w:trPr>
        <w:tc>
          <w:tcPr>
            <w:tcW w:w="74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BDO USA, LLP, independent registered public accounting firm*</w:t>
            </w:r>
          </w:p>
        </w:tc>
      </w:tr>
      <w:tr>
        <w:trPr>
          <w:trHeight w:val="20"/>
        </w:trPr>
        <w:tc>
          <w:tcPr>
            <w:tcW w:w="4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4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PricewaterhouseCoopers LLP, independent auditors*</w:t>
            </w:r>
          </w:p>
        </w:tc>
      </w:tr>
      <w:tr>
        <w:trPr>
          <w:trHeight w:val="20"/>
        </w:trPr>
        <w:tc>
          <w:tcPr>
            <w:tcW w:w="4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4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Orrick, Herrington &amp; Sutcliffe LLP (included in Exhibit 5.1)*</w:t>
            </w:r>
          </w:p>
        </w:tc>
      </w:tr>
      <w:tr>
        <w:trPr>
          <w:trHeight w:val="20"/>
        </w:trPr>
        <w:tc>
          <w:tcPr>
            <w:tcW w:w="4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4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Power of Attorney (included in the signature page to this Registration Statement)*</w:t>
            </w:r>
          </w:p>
        </w:tc>
      </w:tr>
      <w:tr>
        <w:trPr>
          <w:trHeight w:val="20"/>
        </w:trPr>
        <w:tc>
          <w:tcPr>
            <w:tcW w:w="4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40" w:type="dxa"/>
            <w:vAlign w:val="bottom"/>
            <w:gridSpan w:val="4"/>
          </w:tcPr>
          <w:p>
            <w:pPr>
              <w:jc w:val="center"/>
              <w:ind w:left="330"/>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0"/>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Amended and Restated 2011 Stock Plan (incorporated by reference to Exhibit 10.2 to the Registrant’s Registration Statement on Form</w:t>
              </w:r>
            </w:hyperlink>
          </w:p>
        </w:tc>
      </w:tr>
      <w:tr>
        <w:trPr>
          <w:trHeight w:val="196"/>
        </w:trPr>
        <w:tc>
          <w:tcPr>
            <w:tcW w:w="4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10 (File No. 000-56424, filed with the Commission on April 26, 2022)</w:t>
              </w:r>
            </w:hyperlink>
          </w:p>
        </w:tc>
      </w:tr>
      <w:tr>
        <w:trPr>
          <w:trHeight w:val="20"/>
        </w:trPr>
        <w:tc>
          <w:tcPr>
            <w:tcW w:w="7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40" w:type="dxa"/>
            <w:vAlign w:val="bottom"/>
            <w:gridSpan w:val="4"/>
          </w:tcPr>
          <w:p>
            <w:pPr>
              <w:jc w:val="center"/>
              <w:ind w:left="330"/>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hyperlink>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0"/>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Form of Amended and Restated 2011 Stock Plan Restricted Stock Unit Agreement (incorporated by reference to Exhibit 10.3 to the</w:t>
              </w:r>
            </w:hyperlink>
          </w:p>
        </w:tc>
      </w:tr>
      <w:tr>
        <w:trPr>
          <w:trHeight w:val="196"/>
        </w:trPr>
        <w:tc>
          <w:tcPr>
            <w:tcW w:w="4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Registrant’s Registration Statement on Form 10 (File No. 000-56424, filed with the Commission on April 26, 2022)</w:t>
              </w:r>
            </w:hyperlink>
          </w:p>
        </w:tc>
        <w:tc>
          <w:tcPr>
            <w:tcW w:w="1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740" w:type="dxa"/>
            <w:vAlign w:val="bottom"/>
            <w:gridSpan w:val="4"/>
          </w:tcPr>
          <w:p>
            <w:pPr>
              <w:jc w:val="center"/>
              <w:ind w:left="330"/>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3</w:t>
              </w:r>
            </w:hyperlink>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0"/>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Amended and Restated 2011 Stock Plan Stock Option Agreement (incorporated by reference to Exhibit 10.4 to the Registrant’s</w:t>
              </w:r>
            </w:hyperlink>
          </w:p>
        </w:tc>
      </w:tr>
      <w:tr>
        <w:trPr>
          <w:trHeight w:val="196"/>
        </w:trPr>
        <w:tc>
          <w:tcPr>
            <w:tcW w:w="4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Registration Statement on Form 10 (File No. 000-56424, filed with the Commission on April 26, 2022)</w:t>
              </w:r>
            </w:hyperlink>
          </w:p>
        </w:tc>
        <w:tc>
          <w:tcPr>
            <w:tcW w:w="2440" w:type="dxa"/>
            <w:vAlign w:val="bottom"/>
            <w:tcBorders>
              <w:top w:val="single" w:sz="8" w:color="0000EE"/>
            </w:tcBorders>
            <w:gridSpan w:val="3"/>
          </w:tcPr>
          <w:p>
            <w:pPr>
              <w:spacing w:after="0"/>
              <w:rPr>
                <w:sz w:val="17"/>
                <w:szCs w:val="17"/>
                <w:color w:val="auto"/>
              </w:rPr>
            </w:pPr>
          </w:p>
        </w:tc>
      </w:tr>
    </w:tbl>
    <w:p>
      <w:pPr>
        <w:spacing w:after="0" w:line="225" w:lineRule="exact"/>
        <w:rPr>
          <w:sz w:val="20"/>
          <w:szCs w:val="20"/>
          <w:color w:val="auto"/>
        </w:rPr>
      </w:pPr>
    </w:p>
    <w:p>
      <w:pPr>
        <w:ind w:left="1360" w:hanging="920"/>
        <w:spacing w:after="0"/>
        <w:tabs>
          <w:tab w:leader="none" w:pos="1360" w:val="left"/>
        </w:tabs>
        <w:numPr>
          <w:ilvl w:val="1"/>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Filing Fee Table*</w:t>
      </w:r>
    </w:p>
    <w:p>
      <w:pPr>
        <w:spacing w:after="0" w:line="387"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16"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jc w:val="both"/>
        <w:ind w:firstLine="980"/>
        <w:spacing w:after="0" w:line="266" w:lineRule="auto"/>
        <w:tabs>
          <w:tab w:leader="none" w:pos="12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980"/>
        <w:spacing w:after="0" w:line="282" w:lineRule="auto"/>
        <w:tabs>
          <w:tab w:leader="none" w:pos="124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firstLine="332"/>
        <w:spacing w:after="0" w:line="258" w:lineRule="auto"/>
        <w:tabs>
          <w:tab w:leader="none" w:pos="5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332"/>
        <w:spacing w:after="0" w:line="255" w:lineRule="auto"/>
        <w:tabs>
          <w:tab w:leader="none" w:pos="5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this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of November, 2022.</w:t>
      </w:r>
    </w:p>
    <w:p>
      <w:pPr>
        <w:spacing w:after="0" w:line="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 /s/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17145</wp:posOffset>
            </wp:positionV>
            <wp:extent cx="34461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Chris Hulls</w:t>
      </w:r>
    </w:p>
    <w:p>
      <w:pPr>
        <w:spacing w:after="0" w:line="23" w:lineRule="exact"/>
        <w:rPr>
          <w:sz w:val="20"/>
          <w:szCs w:val="20"/>
          <w:color w:val="auto"/>
        </w:rPr>
      </w:pPr>
    </w:p>
    <w:p>
      <w:pPr>
        <w:ind w:left="582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Chris Hulls, Russell Burke and Kirsten Daru, and each or any of them, such individual’s true and lawful attorneys-in-fact and agents with full power of substitution and resubstitution, for such individual and in such individual’s name, place and stead, in any and all capacities, to sign any and all amendments (including post-effective amendments) to this Registration Statement, and to file the same, with all exhibits thereto and all other documents in connection therewith, with the Commission, granting unto said attorneys-in-fact and agents, and each of them, full power and authority to do and perform each and every act and thing requisite and necessary to be done in connection therewith, as fully to all intents and purposes as such individual might or could do in person, hereby ratifying and confirming all that said attorneys-in-fact and agents, or any of them or their substitute or substitutes, may lawfully do or cause to be done by virtue hereof. This Power of Attorney may be signed in one or more counterparts, each of which shall be an original, with the same effect as if the signatures thereto and hereto were upon the same instrument.</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40" w:type="dxa"/>
            <w:vAlign w:val="bottom"/>
          </w:tcPr>
          <w:p>
            <w:pPr>
              <w:spacing w:after="0"/>
              <w:rPr>
                <w:sz w:val="20"/>
                <w:szCs w:val="20"/>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 Hulls</w:t>
            </w:r>
          </w:p>
        </w:tc>
        <w:tc>
          <w:tcPr>
            <w:tcW w:w="24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22,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 Hulls</w:t>
            </w:r>
          </w:p>
        </w:tc>
        <w:tc>
          <w:tcPr>
            <w:tcW w:w="240" w:type="dxa"/>
            <w:vAlign w:val="bottom"/>
          </w:tcPr>
          <w:p>
            <w:pPr>
              <w:spacing w:after="0"/>
              <w:rPr>
                <w:sz w:val="19"/>
                <w:szCs w:val="19"/>
                <w:color w:val="auto"/>
              </w:rPr>
            </w:pPr>
          </w:p>
        </w:tc>
        <w:tc>
          <w:tcPr>
            <w:tcW w:w="4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80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Russell Burke</w:t>
            </w:r>
          </w:p>
        </w:tc>
        <w:tc>
          <w:tcPr>
            <w:tcW w:w="24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22,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Russell Burke</w:t>
            </w:r>
          </w:p>
        </w:tc>
        <w:tc>
          <w:tcPr>
            <w:tcW w:w="240" w:type="dxa"/>
            <w:vAlign w:val="bottom"/>
          </w:tcPr>
          <w:p>
            <w:pPr>
              <w:spacing w:after="0"/>
              <w:rPr>
                <w:sz w:val="19"/>
                <w:szCs w:val="19"/>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80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(CJ) Prober</w:t>
            </w:r>
          </w:p>
        </w:tc>
        <w:tc>
          <w:tcPr>
            <w:tcW w:w="24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22,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Charles (CJ) Prober</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Philip Coghlan</w:t>
            </w:r>
          </w:p>
        </w:tc>
        <w:tc>
          <w:tcPr>
            <w:tcW w:w="24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22,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Philip Coghlan</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Goines</w:t>
            </w:r>
          </w:p>
        </w:tc>
        <w:tc>
          <w:tcPr>
            <w:tcW w:w="24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22,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Goines</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Alex Haro</w:t>
            </w:r>
          </w:p>
        </w:tc>
        <w:tc>
          <w:tcPr>
            <w:tcW w:w="24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22,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Alex Haro</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Brit Morin</w:t>
            </w:r>
          </w:p>
        </w:tc>
        <w:tc>
          <w:tcPr>
            <w:tcW w:w="24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22,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Brit Morin</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Synge</w:t>
            </w:r>
          </w:p>
        </w:tc>
        <w:tc>
          <w:tcPr>
            <w:tcW w:w="24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22,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Synge</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Wiadrowski</w:t>
            </w:r>
          </w:p>
        </w:tc>
        <w:tc>
          <w:tcPr>
            <w:tcW w:w="24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22,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Wiadrowski</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Randi Zuckerberg</w:t>
            </w:r>
          </w:p>
        </w:tc>
        <w:tc>
          <w:tcPr>
            <w:tcW w:w="24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22, 2022</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Randi Zuckerberg</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657"/>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156845</wp:posOffset>
            </wp:positionV>
            <wp:extent cx="6858000" cy="3900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85800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Orrick, Herrington &amp; Sutcliffe LLP</w:t>
      </w:r>
    </w:p>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THE ORRICK BUILDING</w:t>
      </w:r>
    </w:p>
    <w:p>
      <w:pPr>
        <w:jc w:val="right"/>
        <w:spacing w:after="0" w:line="226" w:lineRule="auto"/>
        <w:rPr>
          <w:sz w:val="20"/>
          <w:szCs w:val="20"/>
          <w:color w:val="auto"/>
        </w:rPr>
      </w:pPr>
      <w:r>
        <w:rPr>
          <w:rFonts w:ascii="Times New Roman" w:cs="Times New Roman" w:eastAsia="Times New Roman" w:hAnsi="Times New Roman"/>
          <w:sz w:val="14"/>
          <w:szCs w:val="14"/>
          <w:color w:val="auto"/>
        </w:rPr>
        <w:t>405 HOWARD STREET</w:t>
      </w:r>
    </w:p>
    <w:p>
      <w:pPr>
        <w:jc w:val="right"/>
        <w:spacing w:after="0" w:line="222" w:lineRule="auto"/>
        <w:rPr>
          <w:sz w:val="20"/>
          <w:szCs w:val="20"/>
          <w:color w:val="auto"/>
        </w:rPr>
      </w:pPr>
      <w:r>
        <w:rPr>
          <w:rFonts w:ascii="Times New Roman" w:cs="Times New Roman" w:eastAsia="Times New Roman" w:hAnsi="Times New Roman"/>
          <w:sz w:val="14"/>
          <w:szCs w:val="14"/>
          <w:color w:val="auto"/>
        </w:rPr>
        <w:t>SAN FRANCISCO, CA 94105-2669</w:t>
      </w:r>
    </w:p>
    <w:p>
      <w:pPr>
        <w:jc w:val="right"/>
        <w:spacing w:after="0" w:line="221" w:lineRule="auto"/>
        <w:rPr>
          <w:sz w:val="20"/>
          <w:szCs w:val="20"/>
          <w:color w:val="auto"/>
        </w:rPr>
      </w:pPr>
      <w:r>
        <w:rPr>
          <w:rFonts w:ascii="Times New Roman" w:cs="Times New Roman" w:eastAsia="Times New Roman" w:hAnsi="Times New Roman"/>
          <w:sz w:val="14"/>
          <w:szCs w:val="14"/>
          <w:color w:val="auto"/>
        </w:rPr>
        <w:t>+1-415-773-5700</w:t>
      </w:r>
    </w:p>
    <w:p>
      <w:pPr>
        <w:jc w:val="right"/>
        <w:spacing w:after="0" w:line="234" w:lineRule="auto"/>
        <w:rPr>
          <w:sz w:val="20"/>
          <w:szCs w:val="20"/>
          <w:color w:val="auto"/>
        </w:rPr>
      </w:pPr>
      <w:r>
        <w:rPr>
          <w:rFonts w:ascii="Times New Roman" w:cs="Times New Roman" w:eastAsia="Times New Roman" w:hAnsi="Times New Roman"/>
          <w:sz w:val="14"/>
          <w:szCs w:val="14"/>
          <w:b w:val="1"/>
          <w:bCs w:val="1"/>
          <w:color w:val="auto"/>
        </w:rPr>
        <w:t>orrick.com</w:t>
      </w:r>
    </w:p>
    <w:p>
      <w:pPr>
        <w:spacing w:after="0"/>
        <w:rPr>
          <w:sz w:val="20"/>
          <w:szCs w:val="20"/>
          <w:color w:val="auto"/>
        </w:rPr>
      </w:pPr>
      <w:r>
        <w:rPr>
          <w:rFonts w:ascii="Times New Roman" w:cs="Times New Roman" w:eastAsia="Times New Roman" w:hAnsi="Times New Roman"/>
          <w:sz w:val="18"/>
          <w:szCs w:val="18"/>
          <w:color w:val="auto"/>
        </w:rPr>
        <w:t>November 22,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Life360,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 Bryant Street, Suite 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94107</w:t>
      </w:r>
    </w:p>
    <w:p>
      <w:pPr>
        <w:spacing w:after="0" w:line="20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acted as counsel for Life360,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the Company’s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of an aggregate of 26,121,311 shares of the Company’s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reserved for issuance pursuant to the Company’s Amended and Restated 2011 Stock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your legal counsel, we have reviewed the actions proposed to be taken by you in connection with the issuance and sale of the Shares to be issued under the Plan.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this opinion, we have examined originals or copies, certified or otherwise identified to our satisfaction, of (i) the Company’s Amended and Restated Certificate of Incorporation, (ii) the Company’s Amended and Restated Bylaws, (iii) the Registration Statement, (iv) the Plan, and (v)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or appropriate as a basis for the opinion set forth below.</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documents executed or to be executed, we have assumed that the parties thereto, other than the Company, had or will have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opinions expressed herein that we did not independently establish or verify, we have relied upon statements and representations of officers and other representatives of the Company and others and of public officials.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foregoing and subject to the limitations, qualifications and assumptions set forth herein, we are of the opinion that the Shares to be issued pursuant to the terms of the Plan have been duly authorized and, when issued, delivered and paid for in accordance with the terms of the Plan,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884"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6217285</wp:posOffset>
            </wp:positionH>
            <wp:positionV relativeFrom="page">
              <wp:posOffset>586105</wp:posOffset>
            </wp:positionV>
            <wp:extent cx="1122680" cy="634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22680" cy="63436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opinion expressed herein is limited to the corporate laws of the State of Delaware and the federal laws of the United States of America, and we express no opinion as to the effect on the matters covered by this letter of the laws of any other jurisdictions.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hereby admit that we are included in the category of persons whose consent is required under Section 7 of the Securities Act or the rules and regulations of the Commission promulgated thereunder.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ORRICK, HERRINGTON &amp; SUTCLIFFE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ORRICK, HERRINGTON &amp; SUTCLIFFE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Life360,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of our report dated April 26, 2022, relating to the consolidated financial statements of Life360, Inc. appearing in the Company’s Registration Statement on Form 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AUDITORS</w:t>
      </w:r>
    </w:p>
    <w:p>
      <w:pPr>
        <w:spacing w:after="0" w:line="225"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on Form S-8 of Life 360, Inc. of our report dated November 11, 2021 relating to the financial statements of Tile, Inc., which appears in Amendment No. 2 to the Registration Statement on Form 10 of Life360,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8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80" w:type="dxa"/>
            <w:vAlign w:val="bottom"/>
            <w:vMerge w:val="restart"/>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 w:type="dxa"/>
            <w:vAlign w:val="bottom"/>
            <w:vMerge w:val="restart"/>
          </w:tcPr>
          <w:p>
            <w:pPr>
              <w:spacing w:after="0"/>
              <w:rPr>
                <w:sz w:val="12"/>
                <w:szCs w:val="12"/>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 Registered</w:t>
            </w:r>
            <w:r>
              <w:rPr>
                <w:rFonts w:ascii="Times New Roman" w:cs="Times New Roman" w:eastAsia="Times New Roman" w:hAnsi="Times New Roman"/>
                <w:sz w:val="23"/>
                <w:szCs w:val="23"/>
                <w:b w:val="1"/>
                <w:bCs w:val="1"/>
                <w:color w:val="auto"/>
                <w:vertAlign w:val="superscript"/>
              </w:rPr>
              <w:t>(1)</w:t>
            </w:r>
          </w:p>
        </w:tc>
        <w:tc>
          <w:tcPr>
            <w:tcW w:w="280" w:type="dxa"/>
            <w:vAlign w:val="bottom"/>
            <w:vMerge w:val="restart"/>
          </w:tcPr>
          <w:p>
            <w:pPr>
              <w:spacing w:after="0"/>
              <w:rPr>
                <w:sz w:val="12"/>
                <w:szCs w:val="12"/>
                <w:color w:val="auto"/>
              </w:rPr>
            </w:pPr>
          </w:p>
        </w:tc>
        <w:tc>
          <w:tcPr>
            <w:tcW w:w="14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 Per</w:t>
            </w:r>
          </w:p>
        </w:tc>
        <w:tc>
          <w:tcPr>
            <w:tcW w:w="8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2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Title</w:t>
            </w:r>
          </w:p>
        </w:tc>
        <w:tc>
          <w:tcPr>
            <w:tcW w:w="1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00" w:type="dxa"/>
            <w:vAlign w:val="bottom"/>
            <w:tcBorders>
              <w:bottom w:val="single" w:sz="8" w:color="CCEEFF"/>
            </w:tcBorders>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Unit</w:t>
            </w: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1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Equity</w:t>
            </w:r>
          </w:p>
        </w:tc>
        <w:tc>
          <w:tcPr>
            <w:tcW w:w="176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Common Stock, $0.001 par</w:t>
            </w:r>
          </w:p>
        </w:tc>
        <w:tc>
          <w:tcPr>
            <w:tcW w:w="12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Other</w:t>
            </w:r>
          </w:p>
        </w:tc>
        <w:tc>
          <w:tcPr>
            <w:tcW w:w="1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26,121,311</w:t>
            </w:r>
            <w:r>
              <w:rPr>
                <w:rFonts w:ascii="Times New Roman" w:cs="Times New Roman" w:eastAsia="Times New Roman" w:hAnsi="Times New Roman"/>
                <w:sz w:val="23"/>
                <w:szCs w:val="23"/>
                <w:color w:val="auto"/>
                <w:vertAlign w:val="superscript"/>
              </w:rPr>
              <w:t>(2)</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4.60</w:t>
            </w:r>
            <w:r>
              <w:rPr>
                <w:rFonts w:ascii="Times New Roman" w:cs="Times New Roman" w:eastAsia="Times New Roman" w:hAnsi="Times New Roman"/>
                <w:sz w:val="23"/>
                <w:szCs w:val="23"/>
                <w:color w:val="auto"/>
                <w:vertAlign w:val="superscript"/>
              </w:rPr>
              <w:t>(3)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120,241,853.89</w:t>
            </w: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110.20</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13,250.66</w:t>
            </w:r>
          </w:p>
        </w:tc>
        <w:tc>
          <w:tcPr>
            <w:tcW w:w="0" w:type="dxa"/>
            <w:vAlign w:val="bottom"/>
          </w:tcPr>
          <w:p>
            <w:pPr>
              <w:spacing w:after="0"/>
              <w:rPr>
                <w:sz w:val="1"/>
                <w:szCs w:val="1"/>
                <w:color w:val="auto"/>
              </w:rPr>
            </w:pPr>
          </w:p>
        </w:tc>
      </w:tr>
      <w:tr>
        <w:trPr>
          <w:trHeight w:val="171"/>
        </w:trPr>
        <w:tc>
          <w:tcPr>
            <w:tcW w:w="1160" w:type="dxa"/>
            <w:vAlign w:val="bottom"/>
            <w:gridSpan w:val="2"/>
            <w:vMerge w:val="continue"/>
            <w:shd w:val="clear" w:color="auto" w:fill="CCEEFF"/>
          </w:tcPr>
          <w:p>
            <w:pPr>
              <w:spacing w:after="0"/>
              <w:rPr>
                <w:sz w:val="14"/>
                <w:szCs w:val="14"/>
                <w:color w:val="auto"/>
              </w:rPr>
            </w:pP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value per share</w:t>
            </w:r>
          </w:p>
        </w:tc>
        <w:tc>
          <w:tcPr>
            <w:tcW w:w="1220" w:type="dxa"/>
            <w:vAlign w:val="bottom"/>
            <w:vMerge w:val="continue"/>
            <w:shd w:val="clear" w:color="auto" w:fill="CCEEFF"/>
          </w:tcPr>
          <w:p>
            <w:pPr>
              <w:spacing w:after="0"/>
              <w:rPr>
                <w:sz w:val="14"/>
                <w:szCs w:val="14"/>
                <w:color w:val="auto"/>
              </w:rPr>
            </w:pPr>
          </w:p>
        </w:tc>
        <w:tc>
          <w:tcPr>
            <w:tcW w:w="1760" w:type="dxa"/>
            <w:vAlign w:val="bottom"/>
            <w:gridSpan w:val="3"/>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120,241,853.89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13,250.66</w:t>
            </w: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rPr>
              <w:t>Total Fee Offsets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13,250.66</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340" w:hanging="332"/>
        <w:spacing w:after="0" w:line="25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on Form S-8 (the “Registration Statement”) shall also cover any additional shares of the common stock, $0.001 par value per share (the “Common Stock”), of Life360, Inc. (the “Registrant”) that become issuable with respect to the securities identified in the above table, by reason of any stock dividend, stock splits, reverse stock splits, recapitalizations, reclassifications, mergers, split-ups, reorganizations, consolidations and other capital adjustments effected without receipt of consideration that increases the number of outstanding shares of Common Stock.</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under the Amended and Restated 2011 Stock Plan.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and (h) of the Securities Act, solely for the purpose of calculating the registration fee. The proposed maximum offering price per share of $4.60 was computed by averaging the high and low prices of a share of the Registrant’s Common Stock as reported in the form of CHESS Depositary Interests, or CDIs, on the Australian Securities Exchange, or the ASX, on November 18, 2022. The U.S. dollar equivalent of the maximum offering price per share has been calculated using an exchange rate of 0.6681 to convert Australian dollars to U.S. dollars as of November 18, 2022, as announced by the Federal Reserve as of 12:00 p.m.,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2"/>
      <w:numFmt w:val="decimal"/>
      <w:start w:val="107"/>
    </w:lvl>
  </w:abstractNum>
  <w:abstractNum w:abstractNumId="3">
    <w:nsid w:val="3D1B58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jpeg"/><Relationship Id="rId37" Type="http://schemas.openxmlformats.org/officeDocument/2006/relationships/image" Target="media/image19.png"/><Relationship Id="rId38" Type="http://schemas.openxmlformats.org/officeDocument/2006/relationships/image" Target="media/image20.jpe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18" Type="http://schemas.openxmlformats.org/officeDocument/2006/relationships/hyperlink" Target="https://www.sec.gov/Archives/edgar/data/1581760/000119312522120522/d328928d1012g.htm" TargetMode="External"/><Relationship Id="rId19" Type="http://schemas.openxmlformats.org/officeDocument/2006/relationships/hyperlink" Target="https://www.sec.gov/Archives/edgar/data/1581760/000119312522172365/d328928d1012ga.htm" TargetMode="External"/><Relationship Id="rId20" Type="http://schemas.openxmlformats.org/officeDocument/2006/relationships/hyperlink" Target="https://www.sec.gov/Archives/edgar/data/1581760/000119312522187348/d328928d1012ga.htm" TargetMode="External"/><Relationship Id="rId21" Type="http://schemas.openxmlformats.org/officeDocument/2006/relationships/hyperlink" Target="https://www.sec.gov/ix?doc=/Archives/edgar/data/0001581760/000158176022000021/lifx-20220930.htm" TargetMode="External"/><Relationship Id="rId22" Type="http://schemas.openxmlformats.org/officeDocument/2006/relationships/hyperlink" Target="https://www.sec.gov/ix?doc=/Archives/edgar/data/0001581760/000158176022000007/lifx-20220630.htm" TargetMode="External"/><Relationship Id="rId23" Type="http://schemas.openxmlformats.org/officeDocument/2006/relationships/hyperlink" Target="https://www.sec.gov/Archives/edgar/data/1581760/000119312522198623/d395327d8k.htm" TargetMode="External"/><Relationship Id="rId24" Type="http://schemas.openxmlformats.org/officeDocument/2006/relationships/hyperlink" Target="https://www.sec.gov/ix?doc=/Archives/edgar/data/1581760/000119312522290072/d407708d8k.htm" TargetMode="External"/><Relationship Id="rId25" Type="http://schemas.openxmlformats.org/officeDocument/2006/relationships/hyperlink" Target="https://www.sec.gov/Archives/edgar/data/1581760/000119312522187348/d328928d1012ga.htm#rom328928_12" TargetMode="External"/><Relationship Id="rId29" Type="http://schemas.openxmlformats.org/officeDocument/2006/relationships/hyperlink" Target="https://www.sec.gov/Archives/edgar/data/1581760/000119312522120522/d328928dex102.htm" TargetMode="External"/><Relationship Id="rId30" Type="http://schemas.openxmlformats.org/officeDocument/2006/relationships/hyperlink" Target="https://www.sec.gov/Archives/edgar/data/1581760/000119312522120522/d328928dex103.htm" TargetMode="External"/><Relationship Id="rId31" Type="http://schemas.openxmlformats.org/officeDocument/2006/relationships/hyperlink" Target="https://www.sec.gov/Archives/edgar/data/1581760/000119312522120522/d328928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2022-11-22T16:16:19Z</dcterms:created>
  <dcterms:modified xsi:type="dcterms:W3CDTF">2022-11-22T16:16:19Z</dcterms:modified>
</cp:coreProperties>
</file>