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before="0" w:after="0"/>
        <w:jc w:val="center"/>
        <w:rPr/>
      </w:pPr>
      <w:r>
        <w:rPr/>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001-42120</w:t>
      </w:r>
    </w:p>
    <w:p>
      <w:pPr>
        <w:pStyle w:val="TextBody"/>
        <w:bidi w:val="0"/>
        <w:spacing w:lineRule="auto" w:line="288" w:before="20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Life360,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14" w:type="dxa"/>
        <w:jc w:val="left"/>
        <w:tblInd w:w="0" w:type="dxa"/>
        <w:tblLayout w:type="fixed"/>
        <w:tblCellMar>
          <w:top w:w="28" w:type="dxa"/>
          <w:left w:w="28" w:type="dxa"/>
          <w:bottom w:w="28" w:type="dxa"/>
          <w:right w:w="28" w:type="dxa"/>
        </w:tblCellMar>
      </w:tblPr>
      <w:tblGrid>
        <w:gridCol w:w="1253"/>
        <w:gridCol w:w="1100"/>
        <w:gridCol w:w="1112"/>
        <w:gridCol w:w="481"/>
        <w:gridCol w:w="481"/>
        <w:gridCol w:w="687"/>
      </w:tblGrid>
      <w:tr>
        <w:trPr/>
        <w:tc>
          <w:tcPr>
            <w:tcW w:w="125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26-0197666</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South Norfolk Street,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94403</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(Address of principal executive offices)</w:t>
            </w:r>
            <w:r>
              <w:rPr>
                <w:rFonts w:ascii="Times New Roman;serif" w:hAnsi="Times New Roman;serif"/>
                <w:b w:val="false"/>
                <w:color w:val="000000"/>
                <w:sz w:val="13"/>
              </w:rPr>
              <w:t>(1)</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color w:val="000000"/>
          <w:sz w:val="20"/>
        </w:rPr>
        <w:t>Tel: (</w:t>
      </w:r>
      <w:r>
        <w:rPr>
          <w:rFonts w:ascii="Times New Roman;serif" w:hAnsi="Times New Roman;serif"/>
          <w:b w:val="false"/>
          <w:color w:val="000000"/>
          <w:sz w:val="20"/>
        </w:rPr>
        <w:t>415</w:t>
      </w:r>
      <w:r>
        <w:rPr>
          <w:rFonts w:ascii="Times New Roman;serif" w:hAnsi="Times New Roman;serif"/>
          <w:b/>
          <w:color w:val="000000"/>
          <w:sz w:val="20"/>
        </w:rPr>
        <w:t xml:space="preserve">) </w:t>
      </w:r>
      <w:r>
        <w:rPr>
          <w:rFonts w:ascii="Times New Roman;serif" w:hAnsi="Times New Roman;serif"/>
          <w:b w:val="false"/>
          <w:color w:val="000000"/>
          <w:sz w:val="20"/>
        </w:rPr>
        <w:t>484-5244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pPr>
      <w:r>
        <w:rPr>
          <w:rFonts w:ascii="Times New Roman;serif" w:hAnsi="Times New Roman;serif"/>
          <w:b w:val="false"/>
          <w:color w:val="000000"/>
          <w:sz w:val="20"/>
        </w:rPr>
        <w:t xml:space="preserve">Securities registered pursuant to Section 12(g) of the Act: </w:t>
      </w:r>
      <w:r>
        <w:rPr>
          <w:rFonts w:ascii="Times New Roman;serif" w:hAnsi="Times New Roman;serif"/>
          <w:b/>
          <w:color w:val="000000"/>
          <w:sz w:val="20"/>
        </w:rPr>
        <w:t xml:space="preserve">Common Stock, par value $0.001 per share </w:t>
      </w:r>
    </w:p>
    <w:p>
      <w:pPr>
        <w:pStyle w:val="TextBody"/>
        <w:bidi w:val="0"/>
        <w:spacing w:lineRule="auto" w:line="288" w:before="240" w:after="283"/>
        <w:jc w:val="both"/>
        <w:rPr/>
      </w:pPr>
      <w:r>
        <w:rPr>
          <w:rFonts w:ascii="Times New Roman;serif" w:hAnsi="Times New Roman;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both"/>
        <w:rPr/>
      </w:pPr>
      <w:r>
        <w:rPr>
          <w:rFonts w:ascii="Times New Roman;serif" w:hAnsi="Times New Roman;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w:t>
      </w:r>
      <w:r>
        <w:rPr>
          <w:rFonts w:ascii="Times New Roman;serif" w:hAnsi="Times New Roman;serif"/>
          <w:b w:val="false"/>
          <w:color w:val="000000"/>
          <w:sz w:val="16"/>
        </w:rPr>
        <w:t xml:space="preserve">t.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of the Registrant as of June 30, 2025 was approximately $4.84 billion, based on the closing price of $65.25 per share for the Registrant’s common stock as reported by Nasdaq Stock Market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February 24, 2026, the registrant had 80,198,613 shares of common stock, par value $0.001 per share, including shares underlying all issued and outstanding CHESS Depositary Interests (“CDIs”), outstanding.</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Portions of the definitive proxy statement for the 2026 Annual Meeting of Stockholders of the Registrant (the “2026 Proxy Statement”), are incorporated by reference into Part III of this Annual Report on Form 10-K. The Proxy Statement will be filed with the Securities and Exchange Commission within 120 days of the Registrant’s fiscal year ended December 31, 2025. </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are a Delaware corporation with a globally distributed workforce and no corporate headquarters. Under the Securities and Exchange Commission's rules, we are required to designate a “principal executive office.” For purposes of this report, we have designated our office in San Mateo, California as our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Life360,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Annual Report on Form 10-K for the Year Ended December 31, 2025</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442"/>
        <w:gridCol w:w="387"/>
        <w:gridCol w:w="387"/>
        <w:gridCol w:w="2812"/>
        <w:gridCol w:w="2782"/>
        <w:gridCol w:w="2822"/>
        <w:gridCol w:w="167"/>
        <w:gridCol w:w="167"/>
        <w:gridCol w:w="239"/>
      </w:tblGrid>
      <w:tr>
        <w:trPr/>
        <w:tc>
          <w:tcPr>
            <w:tcW w:w="4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6">
              <w:r>
                <w:rPr>
                  <w:rStyle w:val="InternetLink"/>
                  <w:rFonts w:ascii="Times New Roman;serif" w:hAnsi="Times New Roman;serif"/>
                  <w:b w:val="false"/>
                  <w:color w:val="0000FF"/>
                  <w:sz w:val="20"/>
                  <w:u w:val="single"/>
                </w:rPr>
                <w:t>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6">
              <w:r>
                <w:rPr>
                  <w:rStyle w:val="InternetLink"/>
                  <w:rFonts w:ascii="Times New Roman;serif" w:hAnsi="Times New Roman;serif"/>
                  <w:b w:val="false"/>
                  <w:strike w:val="false"/>
                  <w:dstrike w:val="false"/>
                  <w:color w:val="000000"/>
                  <w:sz w:val="20"/>
                  <w:u w:val="none"/>
                  <w:effect w:val="none"/>
                </w:rPr>
                <w:t>1</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2">
              <w:r>
                <w:rPr>
                  <w:rStyle w:val="InternetLink"/>
                  <w:rFonts w:ascii="Times New Roman;serif" w:hAnsi="Times New Roman;serif"/>
                  <w:b w:val="false"/>
                  <w:color w:val="0000FF"/>
                  <w:sz w:val="20"/>
                  <w:u w:val="single"/>
                </w:rPr>
                <w:t>Item 1.</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2">
              <w:r>
                <w:rPr>
                  <w:rStyle w:val="InternetLink"/>
                  <w:rFonts w:ascii="Times New Roman;serif" w:hAnsi="Times New Roman;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2">
              <w:r>
                <w:rPr>
                  <w:rStyle w:val="InternetLink"/>
                  <w:rFonts w:ascii="Times New Roman;serif" w:hAnsi="Times New Roman;serif"/>
                  <w:b w:val="false"/>
                  <w:strike w:val="false"/>
                  <w:dstrike w:val="false"/>
                  <w:color w:val="000000"/>
                  <w:sz w:val="20"/>
                  <w:u w:val="none"/>
                  <w:effect w:val="none"/>
                </w:rPr>
                <w:t>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61">
              <w:r>
                <w:rPr>
                  <w:rStyle w:val="InternetLink"/>
                  <w:rFonts w:ascii="Times New Roman;serif" w:hAnsi="Times New Roman;serif"/>
                  <w:b w:val="false"/>
                  <w:color w:val="0000FF"/>
                  <w:sz w:val="20"/>
                  <w:u w:val="single"/>
                </w:rPr>
                <w:t>Item 1A.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61">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61">
              <w:r>
                <w:rPr>
                  <w:rStyle w:val="InternetLink"/>
                  <w:rFonts w:ascii="Times New Roman;serif" w:hAnsi="Times New Roman;serif"/>
                  <w:b w:val="false"/>
                  <w:strike w:val="false"/>
                  <w:dstrike w:val="false"/>
                  <w:color w:val="000000"/>
                  <w:sz w:val="20"/>
                  <w:u w:val="none"/>
                  <w:effect w:val="none"/>
                </w:rPr>
                <w:t>9</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85">
              <w:r>
                <w:rPr>
                  <w:rStyle w:val="InternetLink"/>
                  <w:rFonts w:ascii="Times New Roman;serif" w:hAnsi="Times New Roman;serif"/>
                  <w:b w:val="false"/>
                  <w:color w:val="0000FF"/>
                  <w:sz w:val="20"/>
                  <w:u w:val="single"/>
                </w:rPr>
                <w:t>Item 1B.</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85">
              <w:r>
                <w:rPr>
                  <w:rStyle w:val="InternetLink"/>
                  <w:rFonts w:ascii="Times New Roman;serif" w:hAnsi="Times New Roman;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85">
              <w:r>
                <w:rPr>
                  <w:rStyle w:val="InternetLink"/>
                  <w:rFonts w:ascii="Times New Roman;serif" w:hAnsi="Times New Roman;serif"/>
                  <w:b w:val="false"/>
                  <w:strike w:val="false"/>
                  <w:dstrike w:val="false"/>
                  <w:color w:val="000000"/>
                  <w:sz w:val="20"/>
                  <w:u w:val="none"/>
                  <w:effect w:val="none"/>
                </w:rPr>
                <w:t>45</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88">
              <w:r>
                <w:rPr>
                  <w:rStyle w:val="InternetLink"/>
                  <w:rFonts w:ascii="Times New Roman;serif" w:hAnsi="Times New Roman;serif"/>
                  <w:b w:val="false"/>
                  <w:color w:val="0000FF"/>
                  <w:sz w:val="20"/>
                  <w:u w:val="single"/>
                </w:rPr>
                <w:t>Item 1C.</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88">
              <w:r>
                <w:rPr>
                  <w:rStyle w:val="InternetLink"/>
                  <w:rFonts w:ascii="Times New Roman;serif" w:hAnsi="Times New Roman;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88">
              <w:r>
                <w:rPr>
                  <w:rStyle w:val="InternetLink"/>
                  <w:rFonts w:ascii="Times New Roman;serif" w:hAnsi="Times New Roman;serif"/>
                  <w:b w:val="false"/>
                  <w:strike w:val="false"/>
                  <w:dstrike w:val="false"/>
                  <w:color w:val="000000"/>
                  <w:sz w:val="20"/>
                  <w:u w:val="none"/>
                  <w:effect w:val="none"/>
                </w:rPr>
                <w:t>45</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91">
              <w:r>
                <w:rPr>
                  <w:rStyle w:val="InternetLink"/>
                  <w:rFonts w:ascii="Times New Roman;serif" w:hAnsi="Times New Roman;serif"/>
                  <w:b w:val="false"/>
                  <w:color w:val="0000FF"/>
                  <w:sz w:val="20"/>
                  <w:u w:val="single"/>
                </w:rPr>
                <w:t>Item 2.</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91">
              <w:r>
                <w:rPr>
                  <w:rStyle w:val="InternetLink"/>
                  <w:rFonts w:ascii="Times New Roman;serif" w:hAnsi="Times New Roman;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91">
              <w:r>
                <w:rPr>
                  <w:rStyle w:val="InternetLink"/>
                  <w:rFonts w:ascii="Times New Roman;serif" w:hAnsi="Times New Roman;serif"/>
                  <w:b w:val="false"/>
                  <w:strike w:val="false"/>
                  <w:dstrike w:val="false"/>
                  <w:color w:val="000000"/>
                  <w:sz w:val="20"/>
                  <w:u w:val="none"/>
                  <w:effect w:val="none"/>
                </w:rPr>
                <w:t>46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94">
              <w:r>
                <w:rPr>
                  <w:rStyle w:val="InternetLink"/>
                  <w:rFonts w:ascii="Times New Roman;serif" w:hAnsi="Times New Roman;serif"/>
                  <w:b w:val="false"/>
                  <w:color w:val="0000FF"/>
                  <w:sz w:val="20"/>
                  <w:u w:val="single"/>
                </w:rPr>
                <w:t>Item 3.</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94">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94">
              <w:r>
                <w:rPr>
                  <w:rStyle w:val="InternetLink"/>
                  <w:rFonts w:ascii="Times New Roman;serif" w:hAnsi="Times New Roman;serif"/>
                  <w:b w:val="false"/>
                  <w:strike w:val="false"/>
                  <w:dstrike w:val="false"/>
                  <w:color w:val="000000"/>
                  <w:sz w:val="20"/>
                  <w:u w:val="none"/>
                  <w:effect w:val="none"/>
                </w:rPr>
                <w:t>47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97">
              <w:r>
                <w:rPr>
                  <w:rStyle w:val="InternetLink"/>
                  <w:rFonts w:ascii="Times New Roman;serif" w:hAnsi="Times New Roman;serif"/>
                  <w:b w:val="false"/>
                  <w:color w:val="0000FF"/>
                  <w:sz w:val="20"/>
                  <w:u w:val="single"/>
                </w:rPr>
                <w:t>Item 4.</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97">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97">
              <w:r>
                <w:rPr>
                  <w:rStyle w:val="InternetLink"/>
                  <w:rFonts w:ascii="Times New Roman;serif" w:hAnsi="Times New Roman;serif"/>
                  <w:b w:val="false"/>
                  <w:strike w:val="false"/>
                  <w:dstrike w:val="false"/>
                  <w:color w:val="000000"/>
                  <w:sz w:val="20"/>
                  <w:u w:val="none"/>
                  <w:effect w:val="none"/>
                </w:rPr>
                <w:t>47</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03">
              <w:r>
                <w:rPr>
                  <w:rStyle w:val="InternetLink"/>
                  <w:rFonts w:ascii="Times New Roman;serif" w:hAnsi="Times New Roman;serif"/>
                  <w:b w:val="false"/>
                  <w:color w:val="0000FF"/>
                  <w:sz w:val="20"/>
                  <w:u w:val="single"/>
                </w:rPr>
                <w:t>Item 5.</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374b3e7dff54d6f8160656e32d66b0e_10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03">
              <w:r>
                <w:rPr>
                  <w:rStyle w:val="InternetLink"/>
                  <w:rFonts w:ascii="Times New Roman;serif" w:hAnsi="Times New Roman;serif"/>
                  <w:b w:val="false"/>
                  <w:strike w:val="false"/>
                  <w:dstrike w:val="false"/>
                  <w:color w:val="000000"/>
                  <w:sz w:val="20"/>
                  <w:u w:val="none"/>
                  <w:effect w:val="none"/>
                </w:rPr>
                <w:t>47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06">
              <w:r>
                <w:rPr>
                  <w:rStyle w:val="InternetLink"/>
                  <w:rFonts w:ascii="Times New Roman;serif" w:hAnsi="Times New Roman;serif"/>
                  <w:b w:val="false"/>
                  <w:color w:val="0000FF"/>
                  <w:sz w:val="20"/>
                  <w:u w:val="single"/>
                </w:rPr>
                <w:t>Item 6.</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06">
              <w:r>
                <w:rPr>
                  <w:rStyle w:val="InternetLink"/>
                  <w:rFonts w:ascii="Times New Roman;serif" w:hAnsi="Times New Roman;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06">
              <w:r>
                <w:rPr>
                  <w:rStyle w:val="InternetLink"/>
                  <w:rFonts w:ascii="Times New Roman;serif" w:hAnsi="Times New Roman;serif"/>
                  <w:b w:val="false"/>
                  <w:strike w:val="false"/>
                  <w:dstrike w:val="false"/>
                  <w:color w:val="000000"/>
                  <w:sz w:val="20"/>
                  <w:u w:val="none"/>
                  <w:effect w:val="none"/>
                </w:rPr>
                <w:t>48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09">
              <w:r>
                <w:rPr>
                  <w:rStyle w:val="InternetLink"/>
                  <w:rFonts w:ascii="Times New Roman;serif" w:hAnsi="Times New Roman;serif"/>
                  <w:b w:val="false"/>
                  <w:color w:val="0000FF"/>
                  <w:sz w:val="20"/>
                  <w:u w:val="single"/>
                </w:rPr>
                <w:t>Item 7.</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09">
              <w:r>
                <w:rPr>
                  <w:rStyle w:val="InternetLink"/>
                  <w:rFonts w:ascii="Times New Roman;serif" w:hAnsi="Times New Roman;serif"/>
                  <w:b w:val="false"/>
                  <w:strike w:val="false"/>
                  <w:dstrike w:val="false"/>
                  <w:color w:val="000000"/>
                  <w:sz w:val="20"/>
                  <w:u w:val="none"/>
                  <w:effect w:val="none"/>
                </w:rPr>
                <w:t>48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39">
              <w:r>
                <w:rPr>
                  <w:rStyle w:val="InternetLink"/>
                  <w:rFonts w:ascii="Times New Roman;serif" w:hAnsi="Times New Roman;serif"/>
                  <w:b w:val="false"/>
                  <w:color w:val="0000FF"/>
                  <w:sz w:val="20"/>
                  <w:u w:val="single"/>
                </w:rPr>
                <w:t>Item 7A.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39">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39">
              <w:r>
                <w:rPr>
                  <w:rStyle w:val="InternetLink"/>
                  <w:rFonts w:ascii="Times New Roman;serif" w:hAnsi="Times New Roman;serif"/>
                  <w:b w:val="false"/>
                  <w:strike w:val="false"/>
                  <w:dstrike w:val="false"/>
                  <w:color w:val="000000"/>
                  <w:sz w:val="20"/>
                  <w:u w:val="none"/>
                  <w:effect w:val="none"/>
                </w:rPr>
                <w:t>65</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42">
              <w:r>
                <w:rPr>
                  <w:rStyle w:val="InternetLink"/>
                  <w:rFonts w:ascii="Times New Roman;serif" w:hAnsi="Times New Roman;serif"/>
                  <w:b w:val="false"/>
                  <w:color w:val="0000FF"/>
                  <w:sz w:val="20"/>
                  <w:u w:val="single"/>
                </w:rPr>
                <w:t>Item 8.</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42">
              <w:r>
                <w:rPr>
                  <w:rStyle w:val="InternetLink"/>
                  <w:rFonts w:ascii="Times New Roman;serif" w:hAnsi="Times New Roman;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42">
              <w:r>
                <w:rPr>
                  <w:rStyle w:val="InternetLink"/>
                  <w:rFonts w:ascii="Times New Roman;serif" w:hAnsi="Times New Roman;serif"/>
                  <w:b w:val="false"/>
                  <w:strike w:val="false"/>
                  <w:dstrike w:val="false"/>
                  <w:color w:val="000000"/>
                  <w:sz w:val="20"/>
                  <w:u w:val="none"/>
                  <w:effect w:val="none"/>
                </w:rPr>
                <w:t>65</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26">
              <w:r>
                <w:rPr>
                  <w:rStyle w:val="InternetLink"/>
                  <w:rFonts w:ascii="Times New Roman;serif" w:hAnsi="Times New Roman;serif"/>
                  <w:b w:val="false"/>
                  <w:color w:val="0000FF"/>
                  <w:sz w:val="20"/>
                  <w:u w:val="single"/>
                </w:rPr>
                <w:t>Item 9.</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2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26">
              <w:r>
                <w:rPr>
                  <w:rStyle w:val="InternetLink"/>
                  <w:rFonts w:ascii="Times New Roman;serif" w:hAnsi="Times New Roman;serif"/>
                  <w:b w:val="false"/>
                  <w:strike w:val="false"/>
                  <w:dstrike w:val="false"/>
                  <w:color w:val="000000"/>
                  <w:sz w:val="20"/>
                  <w:u w:val="none"/>
                  <w:effect w:val="none"/>
                </w:rPr>
                <w:t>107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29">
              <w:r>
                <w:rPr>
                  <w:rStyle w:val="InternetLink"/>
                  <w:rFonts w:ascii="Times New Roman;serif" w:hAnsi="Times New Roman;serif"/>
                  <w:b w:val="false"/>
                  <w:color w:val="0000FF"/>
                  <w:sz w:val="20"/>
                  <w:u w:val="single"/>
                </w:rPr>
                <w:t>Item 9A.</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29">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29">
              <w:r>
                <w:rPr>
                  <w:rStyle w:val="InternetLink"/>
                  <w:rFonts w:ascii="Times New Roman;serif" w:hAnsi="Times New Roman;serif"/>
                  <w:b w:val="false"/>
                  <w:strike w:val="false"/>
                  <w:dstrike w:val="false"/>
                  <w:color w:val="000000"/>
                  <w:sz w:val="20"/>
                  <w:u w:val="none"/>
                  <w:effect w:val="none"/>
                </w:rPr>
                <w:t>107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32">
              <w:r>
                <w:rPr>
                  <w:rStyle w:val="InternetLink"/>
                  <w:rFonts w:ascii="Times New Roman;serif" w:hAnsi="Times New Roman;serif"/>
                  <w:b w:val="false"/>
                  <w:color w:val="0000FF"/>
                  <w:sz w:val="20"/>
                  <w:u w:val="single"/>
                </w:rPr>
                <w:t>Item 9B.</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32">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32">
              <w:r>
                <w:rPr>
                  <w:rStyle w:val="InternetLink"/>
                  <w:rFonts w:ascii="Times New Roman;serif" w:hAnsi="Times New Roman;serif"/>
                  <w:b w:val="false"/>
                  <w:strike w:val="false"/>
                  <w:dstrike w:val="false"/>
                  <w:color w:val="000000"/>
                  <w:sz w:val="20"/>
                  <w:u w:val="none"/>
                  <w:effect w:val="none"/>
                </w:rPr>
                <w:t>110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38">
              <w:r>
                <w:rPr>
                  <w:rStyle w:val="InternetLink"/>
                  <w:rFonts w:ascii="Times New Roman;serif" w:hAnsi="Times New Roman;serif"/>
                  <w:b w:val="false"/>
                  <w:color w:val="0000FF"/>
                  <w:sz w:val="20"/>
                  <w:u w:val="single"/>
                </w:rPr>
                <w:t>Item 9C.</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38">
              <w:r>
                <w:rPr>
                  <w:rStyle w:val="InternetLink"/>
                  <w:rFonts w:ascii="Times New Roman;serif" w:hAnsi="Times New Roman;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38">
              <w:r>
                <w:rPr>
                  <w:rStyle w:val="InternetLink"/>
                  <w:rFonts w:ascii="Times New Roman;serif" w:hAnsi="Times New Roman;serif"/>
                  <w:b w:val="false"/>
                  <w:strike w:val="false"/>
                  <w:dstrike w:val="false"/>
                  <w:color w:val="000000"/>
                  <w:sz w:val="20"/>
                  <w:u w:val="none"/>
                  <w:effect w:val="none"/>
                </w:rPr>
                <w:t>110</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44">
              <w:r>
                <w:rPr>
                  <w:rStyle w:val="InternetLink"/>
                  <w:rFonts w:ascii="Times New Roman;serif" w:hAnsi="Times New Roman;serif"/>
                  <w:b w:val="false"/>
                  <w:color w:val="0000FF"/>
                  <w:sz w:val="20"/>
                  <w:u w:val="single"/>
                </w:rPr>
                <w:t>Item 10.</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44">
              <w:r>
                <w:rPr>
                  <w:rStyle w:val="InternetLink"/>
                  <w:rFonts w:ascii="Times New Roman;serif" w:hAnsi="Times New Roman;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44">
              <w:r>
                <w:rPr>
                  <w:rStyle w:val="InternetLink"/>
                  <w:rFonts w:ascii="Times New Roman;serif" w:hAnsi="Times New Roman;serif"/>
                  <w:b w:val="false"/>
                  <w:strike w:val="false"/>
                  <w:dstrike w:val="false"/>
                  <w:color w:val="000000"/>
                  <w:sz w:val="20"/>
                  <w:u w:val="none"/>
                  <w:effect w:val="none"/>
                </w:rPr>
                <w:t>110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47">
              <w:r>
                <w:rPr>
                  <w:rStyle w:val="InternetLink"/>
                  <w:rFonts w:ascii="Times New Roman;serif" w:hAnsi="Times New Roman;serif"/>
                  <w:b w:val="false"/>
                  <w:color w:val="0000FF"/>
                  <w:sz w:val="20"/>
                  <w:u w:val="single"/>
                </w:rPr>
                <w:t>Item 11.</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47">
              <w:r>
                <w:rPr>
                  <w:rStyle w:val="InternetLink"/>
                  <w:rFonts w:ascii="Times New Roman;serif" w:hAnsi="Times New Roman;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47">
              <w:r>
                <w:rPr>
                  <w:rStyle w:val="InternetLink"/>
                  <w:rFonts w:ascii="Times New Roman;serif" w:hAnsi="Times New Roman;serif"/>
                  <w:b w:val="false"/>
                  <w:strike w:val="false"/>
                  <w:dstrike w:val="false"/>
                  <w:color w:val="000000"/>
                  <w:sz w:val="20"/>
                  <w:u w:val="none"/>
                  <w:effect w:val="none"/>
                </w:rPr>
                <w:t>111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50">
              <w:r>
                <w:rPr>
                  <w:rStyle w:val="InternetLink"/>
                  <w:rFonts w:ascii="Times New Roman;serif" w:hAnsi="Times New Roman;serif"/>
                  <w:b w:val="false"/>
                  <w:color w:val="0000FF"/>
                  <w:sz w:val="20"/>
                  <w:u w:val="single"/>
                </w:rPr>
                <w:t>Item 12.</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5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50">
              <w:r>
                <w:rPr>
                  <w:rStyle w:val="InternetLink"/>
                  <w:rFonts w:ascii="Times New Roman;serif" w:hAnsi="Times New Roman;serif"/>
                  <w:b w:val="false"/>
                  <w:strike w:val="false"/>
                  <w:dstrike w:val="false"/>
                  <w:color w:val="000000"/>
                  <w:sz w:val="20"/>
                  <w:u w:val="none"/>
                  <w:effect w:val="none"/>
                </w:rPr>
                <w:t>111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53">
              <w:r>
                <w:rPr>
                  <w:rStyle w:val="InternetLink"/>
                  <w:rFonts w:ascii="Times New Roman;serif" w:hAnsi="Times New Roman;serif"/>
                  <w:b w:val="false"/>
                  <w:color w:val="0000FF"/>
                  <w:sz w:val="20"/>
                  <w:u w:val="single"/>
                </w:rPr>
                <w:t>Item 13.</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53">
              <w:r>
                <w:rPr>
                  <w:rStyle w:val="InternetLink"/>
                  <w:rFonts w:ascii="Times New Roman;serif" w:hAnsi="Times New Roman;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53">
              <w:r>
                <w:rPr>
                  <w:rStyle w:val="InternetLink"/>
                  <w:rFonts w:ascii="Times New Roman;serif" w:hAnsi="Times New Roman;serif"/>
                  <w:b w:val="false"/>
                  <w:strike w:val="false"/>
                  <w:dstrike w:val="false"/>
                  <w:color w:val="000000"/>
                  <w:sz w:val="20"/>
                  <w:u w:val="none"/>
                  <w:effect w:val="none"/>
                </w:rPr>
                <w:t>111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56">
              <w:r>
                <w:rPr>
                  <w:rStyle w:val="InternetLink"/>
                  <w:rFonts w:ascii="Times New Roman;serif" w:hAnsi="Times New Roman;serif"/>
                  <w:b w:val="false"/>
                  <w:color w:val="0000FF"/>
                  <w:sz w:val="20"/>
                  <w:u w:val="single"/>
                </w:rPr>
                <w:t>Item 14.</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56">
              <w:r>
                <w:rPr>
                  <w:rStyle w:val="InternetLink"/>
                  <w:rFonts w:ascii="Times New Roman;serif" w:hAnsi="Times New Roman;serif"/>
                  <w:b w:val="false"/>
                  <w:color w:val="0000FF"/>
                  <w:sz w:val="20"/>
                  <w:u w:val="single"/>
                </w:rPr>
                <w:t>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56">
              <w:r>
                <w:rPr>
                  <w:rStyle w:val="InternetLink"/>
                  <w:rFonts w:ascii="Times New Roman;serif" w:hAnsi="Times New Roman;serif"/>
                  <w:b w:val="false"/>
                  <w:strike w:val="false"/>
                  <w:dstrike w:val="false"/>
                  <w:color w:val="000000"/>
                  <w:sz w:val="20"/>
                  <w:u w:val="none"/>
                  <w:effect w:val="none"/>
                </w:rPr>
                <w:t>111</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62">
              <w:r>
                <w:rPr>
                  <w:rStyle w:val="InternetLink"/>
                  <w:rFonts w:ascii="Times New Roman;serif" w:hAnsi="Times New Roman;serif"/>
                  <w:b w:val="false"/>
                  <w:color w:val="0000FF"/>
                  <w:sz w:val="20"/>
                  <w:u w:val="single"/>
                </w:rPr>
                <w:t>Item 15.</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62">
              <w:r>
                <w:rPr>
                  <w:rStyle w:val="InternetLink"/>
                  <w:rFonts w:ascii="Times New Roman;serif" w:hAnsi="Times New Roman;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62">
              <w:r>
                <w:rPr>
                  <w:rStyle w:val="InternetLink"/>
                  <w:rFonts w:ascii="Times New Roman;serif" w:hAnsi="Times New Roman;serif"/>
                  <w:b w:val="false"/>
                  <w:strike w:val="false"/>
                  <w:dstrike w:val="false"/>
                  <w:color w:val="000000"/>
                  <w:sz w:val="20"/>
                  <w:u w:val="none"/>
                  <w:effect w:val="none"/>
                </w:rPr>
                <w:t>112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65">
              <w:r>
                <w:rPr>
                  <w:rStyle w:val="InternetLink"/>
                  <w:rFonts w:ascii="Times New Roman;serif" w:hAnsi="Times New Roman;serif"/>
                  <w:b w:val="false"/>
                  <w:color w:val="0000FF"/>
                  <w:sz w:val="20"/>
                  <w:u w:val="single"/>
                </w:rPr>
                <w:t>Item 16.</w:t>
              </w:r>
            </w:hyperlink>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65">
              <w:r>
                <w:rPr>
                  <w:rStyle w:val="InternetLink"/>
                  <w:rFonts w:ascii="Times New Roman;serif" w:hAnsi="Times New Roman;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65">
              <w:r>
                <w:rPr>
                  <w:rStyle w:val="InternetLink"/>
                  <w:rFonts w:ascii="Times New Roman;serif" w:hAnsi="Times New Roman;serif"/>
                  <w:b w:val="false"/>
                  <w:strike w:val="false"/>
                  <w:dstrike w:val="false"/>
                  <w:color w:val="000000"/>
                  <w:sz w:val="20"/>
                  <w:u w:val="none"/>
                  <w:effect w:val="none"/>
                </w:rPr>
                <w:t>116</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68">
              <w:r>
                <w:rPr>
                  <w:rStyle w:val="InternetLink"/>
                  <w:rFonts w:ascii="Times New Roman;serif" w:hAnsi="Times New Roman;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268">
              <w:r>
                <w:rPr>
                  <w:rStyle w:val="InternetLink"/>
                  <w:rFonts w:ascii="Times New Roman;serif" w:hAnsi="Times New Roman;serif"/>
                  <w:b w:val="false"/>
                  <w:strike w:val="false"/>
                  <w:dstrike w:val="false"/>
                  <w:color w:val="000000"/>
                  <w:sz w:val="20"/>
                  <w:u w:val="none"/>
                  <w:effect w:val="none"/>
                </w:rPr>
                <w:t>117</w:t>
              </w:r>
            </w:hyperlink>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Annual Report on Form 10-K are the property of Life360, Inc. All other trademarks, trade names, and service marks appearing in this Annual Report on Form 10-K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This Annual Report on Form 10-K (this “Annual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Securities Exchange Act of 1934, as amended (the “Exchange Act”). Some of the statements under “</w:t>
      </w:r>
      <w:r>
        <w:rPr>
          <w:rFonts w:ascii="Times New Roman;serif" w:hAnsi="Times New Roman;serif"/>
          <w:b w:val="false"/>
          <w:color w:val="000000"/>
          <w:sz w:val="20"/>
        </w:rPr>
        <w:t xml:space="preserve">Item 1. Business,” </w:t>
      </w:r>
      <w:r>
        <w:rPr>
          <w:color w:val="000000"/>
          <w:shd w:fill="FFFFFF" w:val="clear"/>
        </w:rPr>
        <w:t>“</w:t>
      </w:r>
      <w:r>
        <w:rPr>
          <w:rFonts w:ascii="Times New Roman;serif" w:hAnsi="Times New Roman;serif"/>
          <w:b w:val="false"/>
          <w:color w:val="000000"/>
          <w:sz w:val="20"/>
        </w:rPr>
        <w:t>Item 1A. Risk Factors,</w:t>
      </w:r>
      <w:r>
        <w:rPr>
          <w:color w:val="000000"/>
          <w:shd w:fill="FFFFFF" w:val="clear"/>
        </w:rPr>
        <w:t>” “</w:t>
      </w:r>
      <w:r>
        <w:rPr>
          <w:rFonts w:ascii="Times New Roman;serif" w:hAnsi="Times New Roman;serif"/>
          <w:b w:val="false"/>
          <w:color w:val="000000"/>
          <w:sz w:val="20"/>
          <w:shd w:fill="FFFFFF" w:val="clear"/>
        </w:rPr>
        <w:t xml:space="preserve">Item 7. </w:t>
      </w:r>
      <w:r>
        <w:rPr>
          <w:rFonts w:ascii="Times New Roman;serif" w:hAnsi="Times New Roman;serif"/>
          <w:b w:val="false"/>
          <w:color w:val="000000"/>
          <w:sz w:val="20"/>
        </w:rPr>
        <w:t>Management’s Discussion and Analysis of Financial Condition and Results of Operations</w:t>
      </w:r>
      <w:r>
        <w:rPr>
          <w:color w:val="000000"/>
          <w:shd w:fill="FFFFFF" w:val="clear"/>
        </w:rPr>
        <w:t xml:space="preserve">” </w:t>
      </w:r>
      <w:r>
        <w:rPr>
          <w:rFonts w:ascii="Times New Roman;serif" w:hAnsi="Times New Roman;serif"/>
          <w:b w:val="false"/>
          <w:color w:val="000000"/>
          <w:sz w:val="20"/>
          <w:shd w:fill="FFFFFF" w:val="clear"/>
        </w:rPr>
        <w:t>and elsewhere in this Annual Report contain forward-looking statements.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Annual Report.</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These forward-looking statements are subject to risk and uncertainties, many of which are outside of our control,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as of the date of this Annual Report and our projections of the future, about which we cannot be certain. Forward-looking statements in this Annual Report include, but are not limited to, statements about</w:t>
      </w:r>
      <w:r>
        <w:rPr>
          <w:rFonts w:ascii="Times New Roman;serif" w:hAnsi="Times New Roman;serif"/>
          <w:b w:val="false"/>
          <w:color w:val="000000"/>
          <w:sz w:val="20"/>
        </w:rPr>
        <w:t xml:space="preserv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further penetrate our existing member base, maintain and expand our member base, increase monetization of our member base, and expand in new use cases;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maintain the value and reputation of our brands;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effects of increased competition in our markets and our ability to compete effectively in our industry;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anticipate market needs or develop new products and services or enhance existing products and services to meet those needs;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anticipated trends, developments, and challenges in our industry, business and in the markets in which we operate;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growth strategy and business plan and our ability to effectively manage our growth and meet future capital requirements;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expand internationally and the significance of our global opportunity;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market acceptance of our location sharing services, tracking products, and digital subscription services;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increase sales of our products and services;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concerning relationships with third parties; including suppliers, manufacturers, platforms, and fulfillment partners;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continue to manufacture our hardware products on reasonable terms, including our ability to continue our relationship with Jabil, Inc. (“Jabil”), or at 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develop, and the success of, new monetization features, such as the introduction of advertisements in our app, and improve on existing features;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effects of uncertainties with respect to the legal system in the People’s Republic of China (the “PRC”) and in Malaysia, where our primary manufacturer’s facilities are located, and of disruption in the supply chain from Malaysia and the PRC;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effects of seasonal trends on our results of operations;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identify, recruit, and retain skilled personnel, including key members of senior management;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successfully acquire and integrate companies and assets and to expand and diversify our operations through strategic acquisitions and partnerships;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expectation regarding future financial performance, including our expectations regarding our revenue, cost of revenue, and operating expenses, and our ability to achieve or maintain future profitability;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effects of an economic downturn or economic uncertainty on consumer discretionary spending and demand for our products and services;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economic and industry trends, projected growth, or trend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compliance with laws and regulations that currently apply or may become applicable to our business both in the U.S. and internationally, including with respect to data privacy and security, consumer protection, location sharing, precise geolocation data (including of children), item tracking, targeting, and children’s privacy protections;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maintain, protect, and enhance our intellectual property;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succeed in our core mission of simplifying safety for families through responsible business practices and corporate governance initiatives.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You should refer to the “</w:t>
      </w:r>
      <w:r>
        <w:rPr>
          <w:rFonts w:ascii="Times New Roman;serif" w:hAnsi="Times New Roman;serif"/>
          <w:b w:val="false"/>
          <w:color w:val="000000"/>
          <w:sz w:val="20"/>
        </w:rPr>
        <w:t>Item 1A. Risk Factors</w:t>
      </w:r>
      <w:r>
        <w:rPr>
          <w:color w:val="000000"/>
          <w:shd w:fill="FFFFFF" w:val="clear"/>
        </w:rPr>
        <w:t xml:space="preserve">” </w:t>
      </w:r>
      <w:r>
        <w:rPr>
          <w:rFonts w:ascii="Times New Roman;serif" w:hAnsi="Times New Roman;serif"/>
          <w:b w:val="false"/>
          <w:color w:val="000000"/>
          <w:sz w:val="20"/>
          <w:shd w:fill="FFFFFF" w:val="clear"/>
        </w:rPr>
        <w:t>section of this Annual Report for a discussion of other important factors that may cause our actual results to differ materially from those expressed or implied by our forward-looking statements. As a result of these factors, we cannot assure you that the forward-looking statements in this Annual Report will prove to be accurate. Moreover, we operate in a very competitive and rapidly changing environment. New risks and uncertainties emerge from time to time and existing risks and uncertainties may become more material, and it is not possible for us to predict all risks and uncertainties that could have an impact on the forward-looking statements contained in this Annual Report</w:t>
      </w:r>
      <w:r>
        <w:rPr>
          <w:rFonts w:ascii="Times New Roman;serif" w:hAnsi="Times New Roman;serif"/>
          <w:b w:val="false"/>
          <w:color w:val="000000"/>
          <w:sz w:val="20"/>
        </w:rPr>
        <w:t>.</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Life360 is a leading technology platform connecting millions of people throughout the world to the people, pets and things they care about most. We have created a new category at the intersection of family, technology, and safety to help keep families connected and safe. Our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Life360 mobile application, we also offer hardware tracking devices through the sale of Tile by Life360, Inc. devices (“Tile”) and Life360 Pet GPS devices to keep members close to the people, pets and things they care about most.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suite of product and service offerings, including the Life360 and Tile mobile applications, and related third-party services, is system and platform-agnostic, allowing our products and services to work seamlessly for our members, regardless of the different devices they use. As of December 31, 2025, we had approximately 95.8 million Monthly Active Users (“MAU”), and 2.8 million global Paying Circles on the Life360 Platform, as described below, representing a year-over-year increase of 20% and 26%, respectively. We define a Paying Circle as a group of Life360 members with a paying subscription who have been billed as of the end of period.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revenue is generated from the sale of subscriptions, hardware tracking devices used to access our services, and from partnerships, including through the placement of ads within our platform, and the sale of aggregated, non-personally identifiable data for data insight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we generated: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Total revenue of $489.5 million, $371.5 million, and $304.5 million, respectively;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Subscription revenue of $369.3 million, $277.8 million, and $220.8 million, respectively;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Hardware revenue of $51.8 million, $57.6 million, and $58.2 million, respectively;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Other revenue of $68.4 million, $36.0 million, and $25.5 million, respectively;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Net income of $150.8 million in 2025, and net loss of $4.6 million, and $28.2 million in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Our Products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Life360 Platform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offer four key product features that make up the Life360 Platform: (i) location coordination and safety, (ii) driving safety, (iii) digital safety, and (iv) emergency assistance. Each of these features keeps members connected to the important people in their lives by organizing them into groups called “Circles”. A member selects who to invite to their Circle and what information a Circle, or any individual member within that Circle, receives.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Location coordination and safety features include real-time location, location history, and smart notifications such as location-specific alerts, driving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Life360 mobile application operates under a “freemium” model where its core offering is available to members at no charge, with paid membership subscription options that are available but not required. Paid subscription options offer members a comprehensive suite of premium safety services. We expect that, from time to time, the prices of our membership plans in each country may change and that we may implement other plan and price variations.</w:t>
      </w:r>
    </w:p>
    <w:p>
      <w:pPr>
        <w:pStyle w:val="TextBody"/>
        <w:bidi w:val="0"/>
        <w:spacing w:lineRule="auto" w:line="288" w:before="300" w:after="283"/>
        <w:jc w:val="both"/>
        <w:rPr>
          <w:rFonts w:ascii="Times New Roman;serif" w:hAnsi="Times New Roman;serif"/>
          <w:b w:val="false"/>
          <w:i/>
          <w:color w:val="000000"/>
          <w:sz w:val="20"/>
        </w:rPr>
      </w:pPr>
      <w:r>
        <w:rPr>
          <w:rFonts w:ascii="Times New Roman;serif" w:hAnsi="Times New Roman;serif"/>
          <w:b w:val="false"/>
          <w:i/>
          <w:color w:val="000000"/>
          <w:sz w:val="20"/>
        </w:rPr>
        <w:t>Hardware Products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hardware products, which include Tile branded bluetooth and Life360 Pet GPS devices, seamlessly integrate with the Life360 Platform. The Tile Bluetooth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network leverages the installed base of Life360 members to scan for locations of devices, while our Life360 Pet GPS devices leverage GPS and cellular networks, generating even higher confidence that we can locate lost devices and pets of our customers. Our hardware products are sold through online and brick and mortar retail channels as well as directly on our website and are available, in various shapes, sizes, and price points for different use cases. The Tile mobile application offers a free service as well as two paid subscription options: Premium and Premium Protect, which offer additional services such as warranties and item reimbursement. The Life360 Pet GPS requires a Gold or Platinum Life360 subscription and offers additional location tracking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Our Technology Platform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help families stay connected and safe, we have developed a scalable mobile-first technology platform that protects our members’ data and ensures operational integrity, security, and performance. Highlights of our technology platform include a robust location engine design, scalable and modern technology infrastructure, and seamless third-party integration.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designed an end-to-end technology location solution that allows us to deliver real-time location-based experiences and includes functionality such as storage, processing, and communication of events, locations, drives, maps, places, networking, and visualization of device characteristics for people, pets, and things. The Tile finding network has been integrated into the Life360 Platform. This integration allows members and Paying Circles to keep track of their things and connect with each other through the Life360 Platform. Through our strategic partnership with Hubble Network Inc., (“Hubble”), and subject to successful development and integration, we may expand our location tracking capabilities.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utilize third-party services for our backend platform and infrastructure to connect to our apps and the hardware devices running them. Using these services grants us access to a highly distributed, scalable, reliable, and secure architecture for global delivery of our mission critical services with potential to extend features and functionality—from dispatching tow trucks for roadside assistance to connecting calls for 24/7 SOS help.</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include both large competitors with various product and service offerings and smaller competitors, including (i) direct competitors with location sharing products focused on family safety, (ii) competitors providing location sharing platforms that are not focused on family safety, (iii) competitors in the item tracking technology market, (iv) competitors in the pet tracking technology market, and (v) competitors that have, or may in the future have, overlapping offerings (for example, companies in industries related to roadside assistance and crash detection, identity theft protection, phone insurance and travel, and disaster and medical assistance).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industry is becoming increasingly competitive, we believe that we will continue to compete successfully due to our leading market position, superior value proposition, brand recognition, ability to leverage our member base, our comprehensive suite of offerings, and economies of scale. In addition, our data-driven insights on families’ habits, needs, and preferences enable us to continuously enhance our product offerings and improve the member experience, reinforcing our competitive differentiation.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Employees and Culture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Life360’s core values are designed to create a culture that supports our vision of an ambitious, professionally driven organization that can simplify safety so families can live fully: </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Be a Good Person.</w:t>
      </w:r>
      <w:r>
        <w:rPr>
          <w:color w:val="000000"/>
        </w:rPr>
        <w:t xml:space="preserve"> </w:t>
      </w:r>
      <w:r>
        <w:rPr>
          <w:rFonts w:ascii="Times New Roman;serif" w:hAnsi="Times New Roman;serif"/>
          <w:b w:val="false"/>
          <w:color w:val="000000"/>
          <w:sz w:val="20"/>
        </w:rPr>
        <w:t xml:space="preserve">Everyone at Life360 respects each other and maintains a high level of integrity. </w:t>
      </w:r>
    </w:p>
    <w:p>
      <w:pPr>
        <w:pStyle w:val="TextBody"/>
        <w:bidi w:val="0"/>
        <w:spacing w:lineRule="auto" w:line="288" w:before="60" w:after="283"/>
        <w:ind w:left="0" w:right="0" w:hanging="360"/>
        <w:jc w:val="left"/>
        <w:rPr/>
      </w:pPr>
      <w:r>
        <w:rPr>
          <w:color w:val="000000"/>
        </w:rPr>
        <w:t>•</w:t>
      </w:r>
      <w:r>
        <w:rPr>
          <w:rFonts w:ascii="Times New Roman;serif" w:hAnsi="Times New Roman;serif"/>
          <w:b/>
          <w:i/>
          <w:color w:val="000000"/>
          <w:sz w:val="20"/>
        </w:rPr>
        <w:t>Be Direct with Respect.</w:t>
      </w:r>
      <w:r>
        <w:rPr>
          <w:color w:val="000000"/>
        </w:rPr>
        <w:t xml:space="preserve"> </w:t>
      </w:r>
      <w:r>
        <w:rPr>
          <w:rFonts w:ascii="Times New Roman;serif" w:hAnsi="Times New Roman;serif"/>
          <w:b w:val="false"/>
          <w:color w:val="000000"/>
          <w:sz w:val="20"/>
        </w:rPr>
        <w:t xml:space="preserve">We communicate directly, even when it’s hard. This is always done in support of the other person’s development, and we are intentionally inclusive and always respectful. </w:t>
      </w:r>
    </w:p>
    <w:p>
      <w:pPr>
        <w:pStyle w:val="TextBody"/>
        <w:bidi w:val="0"/>
        <w:spacing w:lineRule="auto" w:line="288" w:before="60" w:after="283"/>
        <w:ind w:left="0" w:right="0" w:hanging="360"/>
        <w:jc w:val="left"/>
        <w:rPr/>
      </w:pPr>
      <w:r>
        <w:rPr>
          <w:color w:val="000000"/>
        </w:rPr>
        <w:t>•</w:t>
      </w:r>
      <w:r>
        <w:rPr>
          <w:rFonts w:ascii="Times New Roman;serif" w:hAnsi="Times New Roman;serif"/>
          <w:b/>
          <w:i/>
          <w:color w:val="000000"/>
          <w:sz w:val="20"/>
        </w:rPr>
        <w:t>Members Before Metrics.</w:t>
      </w:r>
      <w:r>
        <w:rPr>
          <w:color w:val="000000"/>
        </w:rPr>
        <w:t xml:space="preserve"> </w:t>
      </w:r>
      <w:r>
        <w:rPr>
          <w:rFonts w:ascii="Times New Roman;serif" w:hAnsi="Times New Roman;serif"/>
          <w:b w:val="false"/>
          <w:color w:val="000000"/>
          <w:sz w:val="20"/>
        </w:rPr>
        <w:t xml:space="preserve">We value metrics and use them to influence strategy and measure results, but at our core we always focus on building an exceptional experience for families. </w:t>
      </w:r>
    </w:p>
    <w:p>
      <w:pPr>
        <w:pStyle w:val="TextBody"/>
        <w:bidi w:val="0"/>
        <w:spacing w:lineRule="auto" w:line="288" w:before="60" w:after="283"/>
        <w:ind w:left="0" w:right="0" w:hanging="360"/>
        <w:jc w:val="left"/>
        <w:rPr/>
      </w:pPr>
      <w:r>
        <w:rPr>
          <w:color w:val="000000"/>
        </w:rPr>
        <w:t>•</w:t>
      </w:r>
      <w:r>
        <w:rPr>
          <w:rFonts w:ascii="Times New Roman;serif" w:hAnsi="Times New Roman;serif"/>
          <w:b/>
          <w:i/>
          <w:color w:val="000000"/>
          <w:sz w:val="20"/>
        </w:rPr>
        <w:t>High Intensity, High Impact.</w:t>
      </w:r>
      <w:r>
        <w:rPr>
          <w:color w:val="000000"/>
        </w:rPr>
        <w:t xml:space="preserve"> </w:t>
      </w:r>
      <w:r>
        <w:rPr>
          <w:rFonts w:ascii="Times New Roman;serif" w:hAnsi="Times New Roman;serif"/>
          <w:b w:val="false"/>
          <w:color w:val="000000"/>
          <w:sz w:val="20"/>
        </w:rPr>
        <w:t xml:space="preserve">We do whatever it takes to get the job done. We are in a fast moving and competitive environment and we have a team that is in it to win it.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547 full-time employees and approximately 95 contractors, all of whom work remotely but have the option to work out of our San Mateo, California office, or at other flexible workspaces. Life360 aims to provide a work environment in which all of our people can excel regardless of race, religion, age, disability, gender identity, sexual orientation, or marital status. We believe that diversity contributes to our business success, and benefits all of our stakeholders. We are committed to creating an inclusive and equitable work environment for all employees.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We view the quality of our products and services as our key long-term strategic differentiator, and as such, we also provide training opportunities for our employees to further promote personal and professional growth. We do this through both cohort learning as well as personalized learning via the LinkedIn Learning</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throughout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Responsible Business Practices and Corporate Governance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Life360's approach to responsible business practices and good corporate governance reflects our founding mission and continues to shape how we operate as a public company. Our co-founder and Executive Chairman Chris Hulls created Life360 in response to Hurricane Katrina, envisioning technology that could keep families connected and safe during emergencies. That origin in an environmental crisis informs our commitment to impact, resilience, and responsibility across our business today.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responsible business practices strategy is structured around the three pillars of environmental, social, and governance, and is informed by our materiality assessment conducted with employees, leadership, and investors to identify priorities most relevant to our long-term value creation and that may be material to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committed to measuring, disclosing, and reducing our environmental footprint. We quantify our carbon impact across Scope 1 emissions (direct emissions from controlled sources), Scope 2 emissions (indirect emissions from purchased energy), and Scope 3 emissions (value chain impacts including our supply chain and product lifecycle), where data is available and based on reasonable estimates. While we partner with third parties for hardware manufacturing, we prioritize durable product design and responsible vendor practices.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participate in leading disclosure frameworks including the S&amp;P Global Corporate Sustainability Assessment (“CSA”) and CDP, formerly known as the Carbon Disclosure Project, to ensure transparency and alignment with investor expectations on environmental performance.</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Social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social mission centers on safety, privacy, and empowerment across our member base, workforce, and communities. Through real-time location technology, emergency response features, and data protection practices, we serve millions of families seeking connection and peace of mind. We maintain a corporate culture of respect and belonging, with legal recruiting practices, compensation practices, and career advancement pathways for all employees. We provide safe, flexible, and supportive workplaces that are free from all forms of modern slavery. We support employee philanthropic engagement through matching contributions to nonprofit organizations focused on family well-being and community support, and collaborate with partners to amplify safety and privacy in the communities we serve.</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Governance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governance frameworks designed to foster trust, transparency, and ethical decision-making across all stakeholder relationships. Our approach includes disciplined risk identification, assessment, and monitoring processes; business code of conduct training; and transparent disclosure practices.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internal cross-functional team oversees responsible business practices and corporate governance benchmarking, education, and advancement of responsible business practices aligned with global standards and stakeholder expectations. We have begun incorporating elements of the Sustainability Accounting Standards Board (“SASB”) framework to guide reporting of financially material topics and review our materiality assessment annually to ensure continued relevance as our business and the broader responsible business practices landscape evolve.</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Additional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responsible business practices and corporate governance initiatives and goals described above reflect our current priorities and expectations and do not constitute guarantees, contractual commitments, or assurances of future performance.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about our responsible business practices and corporate governance approach, including our published SASB report and detailed disclosures, is available at investors.life360.com/impact/overview. Information contained on, or accessible through, our website is not incorporated by reference into this Form 10-K and should not be considered part of this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invest substantial resources in research and development to enhance our customer offerings and competitiveness. Our global research and development team supports the design and development of our location sharing services, mobile app development, web development, firmware development, platform software development, site reliability engineering, hardware engineering, test engineering, and data science and analytics. Our research and development expenses were $128.4 million, $113.1 million and $101.0 million for the years ended December 31, 2025, 2024, and 2023, respectively. We intend to continue to significantly invest in research and development to bring new customer experiences and devices to market and expand our platform capabilities.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Manufacturing, Logistics and Fulfillment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outsource the manufacturing of our hardware products to our contract manufacturer, Jabil, located in Asia. Jabil has been designated the sole contract manufacturer of our hardware products. To continue to provide our members with quality technology, our supply chain teams in the U.S. and Asia coordinate the relationships between our contract manufacturers and suppliers. In order to mitigate risks associated with a single supply source, and to ensure we can scale our manufacturing base as we continue to expand, we routinely evaluate new partners, manufacturers, and suppliers.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a new manufacturing agreement with Jabil for an initial term of three years that will automatically renew for additional one-year periods, unless terminated or advance written notice not to renew is given. Under our agreement with Jabil, Jabil manufactures our products using design specifications, quality assurance programs, and standards that we establish. We additionally grant Jabil a non-exclusive, royalty-free, non-transferable right and license to use certain Life360 and Tile intellectual property as it relates to Jabil’s obligations under the agreement. We pay for and own the majority of tooling and other equipment specifically required to manufacture our products. We have purchase commitments based on our purchase orders and forecasts for certain amounts of finished goods, works-in-progress, and components purchased in order to support such purchase orders and forecasts. Under the terms of the agreement, the agreement may be terminated (i) by mutual written consent, (ii) by advanced written notice from either party, (iii) for cause by either party after written notice of a material breach and failure by the other party to cure such breach within thirty days, or (iv) immediately upon written notice by either party upon the bankruptcy or insolvency of the other party.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also work with third-party fulfillment partners that package and deliver our products to multiple locations worldwide, which allows us to reduce order fulfillment time and shipping costs, as well as improve inventory flexibility. Our partner relationships help us maintain access to the resources needed to scale seasonally.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Intellectual property is an integral aspect of our business, and we seek protection for our intellectual property and technological innovations as appropriate. We rely upon a combination of federal, state, and common-law rights in the U.S. and the rights under the laws of other countries, patents, trademarks, copyrights, domain name, trade secrets, including know-how, license agreements, confidentiality procedures, nondisclosure agreements with third parties, employee confidentiality, and proprietary rights agreements, and other contractual rights, to establish and protect our proprietary rights.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and acquired patent assets to protect our proprietary technology. Individual patents have terms for varying periods depending on the date of filing of the patent application or the date of patent issuance and the legal term of patents in the countries in which they are obtained. Generally, utility patents issued for applications filed in the U.S., and in many foreign countries, are granted a term of 20 years from the earliest effective filing date of a non-provisional patent application (14 or 15 years from the date of grant for U.S. design patents) provided their registrations are properly maintained. We continually review our development efforts to assess the existence and patentability of new intellectual property. We also pursue the registration of certain of our domain names and trademarks and service marks in the U.S. and in certain locations outside the U.S. Notwithstanding these efforts, there can be no assurance that we will adequately protect our intellectual property or that it will provide any competitive advantage. Further, in some foreign countries, the mechanisms to establish and enforce intellectual property rights may be inadequate to protect our technology. To protect our brand, we hold and maintain a global trademark portfolio. In the U.S., we own trademark registrations for our “Life360”, “Jiobit”, and “Tile” brands. We also own applications and registrations for “Life360,” “Tile,” “Tile-formative,” and other trademarks in certain foreign jurisdictions. Trademark registrations can generally be renewed as long as the marks are in use.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customer terms of service on our website and in our vendor terms and conditions. For information regarding risks related to our intellectual property, please see “Item 1A. Risk Factors — Risks Related to Our Technology and Intellectual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 xml:space="preserve">Seasonality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Life360 subscriptions in the U.S. have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and December largely driven by holiday demand.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Government Regulation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Company is subject to many U.S. federal and state and foreign laws and regulations that involve matters central to our business. These include laws and regulations that relate to data privacy, security, intellectual property (including copyright and patent laws), content regulation, rights of publicity, advertising, marketing, competition, protection of children and minors, consumer protection, payment processing, subscription services, taxation, health and safety, employment and labor, and telecommunications. These laws and regulations are constantly evolving and being tested in courts and by regulators and may be interpreted, applied, created, or amended, in a manner that could harm our business. The application and interpretation of these laws and regulations are often uncertain, especially in new or rapidly evolving industries, and could be interpreted and applied in a manner that is inconsistent from country to country or state to state and inconsistent with our current policies and practices and in ways that could harm our business.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service providers are also subject to domestic and international laws and regulations. Our business depends on certain products and services, including those delivered via internet, from these third parties. The uncertainty in the regulations and interpretation and application of such regulations in the third-party industries may result in an increase in our own expenses or adversely affect our business.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complying with U.S. and foreign laws and regulations, which in some cases can be enforced by private parties in addition to government entities, are high and likely to increase in the future, particularly as the degree of regulation increases, our business grows, and our geographic scope and data processing activities expand. Furthermore, the impact of these laws and regulations may disproportionately affect our business in comparison to our peers in the technology sector that have greater resources. It is imperative that we secure the assets, functionality, materials, and member data that are critical to our business.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services or otherwise impose other restrictions that may affect the accessibility or usability of any or all our products or services for an extended period of time or indefinitely.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see the section entitled “Item 1A. Risk Factors—Risks Related to Our Technology and Intellectual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Government Regulation of Data Privacy and Security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process personal or other sensitive data. This data may relate to our members, employees, partners, vendors, and others. This data may include contact details, payment card information, geolocation data, as well as information collected from and about children and minors.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Telephone Consumer Protection Act of 1991 (“TCPA”), the Children’s Online Privacy Protection Act of 1998 (“COPPA”), the Controlling the Assault of Non-Solicited Pornography And Marketing Act of 2003 (“CAN-SPAM”), the California Consumer Privacy Act of 2018 (“CCPA”) and other state privacy laws, the European Union’s General Data Protection Regulation 2016/679 (“EU GDPR”), the EU GDPR as it forms part of the law of England and Wales by virtue of section 3 of the European Union (Withdrawal) Act 2018 and the Data Protection Act 2018 (collectively the “UK GDPR”, with the EU GDPR and UK GDPR together referred to as the “GDPR”), the EU Digital Services Act (“DSA”), the UK Online Safety Act, the Age Appropriate Design Code enacted by the UK Information Commissioner’s Office, the Privacy and Electronic Communications Directive 2002/58/EC on Privacy and Electronic Communications (the “ePrivacy Directive”), the EU Data Act (Regulation (EU) 2023/2854) (“EU Data Act”), and the Payment Card Industry Data Security Standard (“PCI DSS”). Several states within the U.S. have enacted or proposed data privacy laws, including laws that govern the use of precise geolocation data.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CCPA and the GDPR are examples of the increasingly stringent and evolving regulatory frameworks related to personal data processing that may increase our compliance obligations and exposure for any noncompliance. Similar laws have been enacted or proposed in the past few years in several other U.S. states and other foreign jurisdictions.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or device data, and to opt-out of certain personal data processing activities, such as targeted advertising, profiling, or automated decision-making. The exercise of these rights may impact our business and ability to provide our products and services. These laws may also allow for regulators to impose statutory fines or allow private claimants to recover damages for noncompliance.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European Union and the UK are also focused on the regulation of digital services and online platforms. The EU DSA came into force in 2022, with the majority of the substantive provisions taking effect in 2024. The UK Online Safety Act came into force in 2024, with the majority of the substantive provisions taking effect in 2025. The DSA and the UK Online Safety Act may increase our compliance costs, require changes to our user interfaces, processes, operations, and business practices which may adversely affect our ability to attract, retain and provide our services to members, increase our liability for content hosted, and may otherwise adversely affect our business, operations, and financial condition. If the rules, doctrines or currently available defenses change, if international jurisdictions refuse to apply similar protections that are currently available in the U.S. or the European Union or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foreign jurisdictions have enacted or proposed laws restricting minors’ access to social media platforms. For example, Australia has enacted legislation restricting access to social media platforms by minors. We do not believe our platform constitutes a “social media platform” as defined under such legislation and therefore do not believe these restrictions apply to our products and services. However, regulator interpretations are evolving, and if we were determined to be subject to such laws, we could be required to limit access to our services for certain users, implement additional compliance measures, or modify product features, which could adversely affect user growth and engagement globally, and harm our business, financial condition, and results of operations.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For additional information about the laws and regulations to which we are or may become subject and about the risks to our business associated with such laws and regulations, see the section entitled “Item 1A. Risk Factors — Risks Related to Privacy and Cybersecurity</w:t>
      </w:r>
      <w:r>
        <w:rPr>
          <w:rFonts w:ascii="Times New Roman;serif" w:hAnsi="Times New Roman;serif"/>
          <w:b/>
          <w:color w:val="000000"/>
          <w:sz w:val="20"/>
        </w:rPr>
        <w:t>.</w:t>
      </w:r>
      <w:r>
        <w:rPr>
          <w:color w:val="000000"/>
        </w:rPr>
        <w:t xml:space="preserve">” </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Available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website address is www.life360.com. We make available on our website, free of charge, our Annual Reports on Form 10-K, our Quarterly Reports on Form 10-Q,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The SEC maintains a website that contains reports, proxy and information statements, and other information regarding our filings at www.sec.gov. The ASX maintains a website that contains documents required under Australian securities laws and other information regarding our filings at www.asx.com.au. Additionally, we routinely post additional important information, including press releases, on our website and recognize our website as a channel of distribution to reach public investors and as a means of disclosing material non-public information for complying with disclosure obligations under Regulation FD. Accordingly, investors should monitor our website in addition to our SEC filings, ASX filings, and public webcasts. These items are available at investors.life360.com under “Financials and Filings.”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found on our website is not incorporated by reference into this Annual Report on Form 10-K or any other report we file with or furnish to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36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Jurisdiction of Incorporation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incorporated in the State of Delaware, United States of America, and are a registered foreign entity in Australia. As a foreign Company registered in Australia, we are subject to different reporting and regulatory regimes than Australian companies. As a foreign Company registered in Australia, we are not subject to Chapters 6, 6A, 6B and 6C of the Corporations Act 2001 (Cth) of Australia (“Corporations Act”) dealing with the acquisition of shares (including substantial shareholdings and takeovers). </w:t>
      </w:r>
    </w:p>
    <w:p>
      <w:pPr>
        <w:pStyle w:val="TextBody"/>
        <w:bidi w:val="0"/>
        <w:spacing w:lineRule="auto" w:line="288" w:before="3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Delaware Law, Certificate of Incorporation and Bylaws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provisions of Delaware General Corporation Law (“DGCL”), shares are freely transferable and subject to restrictions imposed by the U.S. federal or state securities laws, by our certificate of incorporation, as amended (“Certificate of Incorporation”) or bylaws (“Bylaws”), or by an agreement signed with the holders of the shares at issuance. Our Certificate of Incorporation and Bylaws do not impose any specific restrictions on transfer. However, provisions of the DGCL, our Certificate of Incorporation and our Bylaws could make it more difficult to acquire the us by means of a tender offer (takeover), a proxy contest or otherwise, or to remove incumbent officers and directors of the Company. These provisions could discourage certain types of coercive takeover practices and takeover bids that the Board may consider inadequate and encourage persons seeking to acquire control of the Company to first negotiate with the Board.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benefits of increased protection of its ability to 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w:t>
      </w:r>
    </w:p>
    <w:p>
      <w:pPr>
        <w:pStyle w:val="TextBody"/>
        <w:bidi w:val="0"/>
        <w:spacing w:lineRule="auto" w:line="288" w:before="36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CHESS Depository Interests (“CDIs”)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Life360’s CDIs are issued in reliance on the exemption from registration contained in Regulation S of the U.S. Securities Act of 1933 (the “Securities Act”) for offers of securities which are made outside the U.S. Accordingly, the CDIs, have not been, and will not be, registered under the Securities Act or the laws of any state or other jurisdiction in the U.S. As a result of relying on the exemption pursuant to Regulation S, the CDIs are ‘restricted securities’ under Rule 144 of the Securities Act. This means that the CDIs cannot be sold into the U.S. or to a U.S. person who is not a Qualified Institutional Buyer (as defined under Rule 144A under the Securities Act, a ‘QIB’) for the foreseeable future except in very limited circumstances until after the end of the restricted period, unless the re-sale of the CDIs is registered under the Securities Act or an exemption is available. To enforce the transfer restrictions, all CDIs issued bear a FOR Financial Product designation on the ASX. This designation restricts any CDIs from being sold on the ASX to U.S. persons excluding QIBs. CDIs may be transferred on the ASX to any person other than a U.S. person who is not a QIB. Hedging transactions with regard to the CDIs may only be conducted in accordance with the Securities Act.</w:t>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50"/>
        <w:jc w:val="both"/>
        <w:rPr/>
      </w:pPr>
      <w:r>
        <w:rPr>
          <w:rFonts w:ascii="Times New Roman;serif" w:hAnsi="Times New Roman;serif"/>
          <w:b w:val="false"/>
          <w:i/>
          <w:color w:val="000000"/>
          <w:sz w:val="20"/>
          <w:shd w:fill="FFFFFF" w:val="clear"/>
        </w:rPr>
        <w:t>Our business is subject to a high degree of risk. You should carefully consider the risks described below, as well as the other information in this Annual Report on Form 10-K, including our financial statements and the related notes and “</w:t>
      </w:r>
      <w:r>
        <w:rPr>
          <w:rFonts w:ascii="Times New Roman;serif" w:hAnsi="Times New Roman;serif"/>
          <w:b w:val="false"/>
          <w:color w:val="000000"/>
          <w:sz w:val="20"/>
        </w:rPr>
        <w:t>Management’s Discussion and Analysis of Financial Condition and Results of Operations.</w:t>
      </w:r>
      <w:r>
        <w:rPr>
          <w:color w:val="000000"/>
          <w:shd w:fill="FFFFFF" w:val="clear"/>
        </w:rPr>
        <w:t xml:space="preserve">” </w:t>
      </w:r>
      <w:r>
        <w:rPr>
          <w:rFonts w:ascii="Times New Roman;serif" w:hAnsi="Times New Roman;serif"/>
          <w:b w:val="false"/>
          <w:i/>
          <w:color w:val="000000"/>
          <w:sz w:val="20"/>
          <w:shd w:fill="FFFFFF" w:val="clear"/>
        </w:rPr>
        <w:t>The occurrence of any of the events or developments described below could harm our business, financial condition, results of operations, and prospects. In such an event, the market price of our common stock could decline.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These risks and uncertainties may cause our operations to vary materially from those contemplated by our forward-looking statements. These risk factors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are not able to maintain the value and reputation of our brands, or if we are not able to compete successfully with current or future competitors, our ability to expand our member base and maintain our relationships with partners and other key service providers may be impaired and our business, financial condition, and results of operations may be harmed.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to our existing brands, products, and services, or the introduction of new brands, products, or services, could fail to attract or retain members or generate revenue and profits.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growth and profitability rely, in part, on our ability to attract members through cost-effective marketing efforts. Any failure in these efforts could materially adversely affect our business, financial condition, and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Distribution and marketing of, and access to, our products and services depends, in significant part, on third-party publishers, retailers,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 </w:t>
      </w:r>
      <w:r>
        <w:rPr>
          <w:rFonts w:ascii="Times New Roman;serif" w:hAnsi="Times New Roman;serif"/>
          <w:b w:val="false"/>
          <w:color w:val="231F20"/>
          <w:sz w:val="20"/>
        </w:rPr>
        <w:t>Such changes could also negatively affect the functionality, performance, or quality of our products and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do not successfully coordinate the worldwide manufacturing, fulfillment, and distribution of our products, we could lose sales, which could materially adversely affect our business, financial condition, and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manufacturer’s facilities are located in Malaysia and the PRC.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rely on key data partners, and any termination of our agreements with such data partners could have a material adverse effect on our revenues, business, financial condition, and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are subject to stringent and evolving laws (U.S. and foreign), regulations, rules, contracts, policies and other obligations related to data privacy and security, data protection, consumer protection, advertising, location tracking, digital tracking technologies, and the protection of minors. Our actual or perceived failure to comply with such obligations could lead to regulatory investigations or actions; litigation (including class action or similar lawsuits); fines and penalties; changes to or disruptions of our business operations; reputational harm; loss of revenue or profits; declines in member growth or engagement; and other material adverse business consequences. In certain foreign jurisdictions, we have limited operating experience, compliance risk may be heightened.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success depends, in part, on the integrity of our information technology systems and infrastructures, as well as those of third parties on which we rely, and on our ability to enhance, expand, and adapt these systems and infrastructures in a timely and cost-effective manner. </w:t>
      </w:r>
      <w:r>
        <w:rPr>
          <w:rFonts w:ascii="Times New Roman;serif" w:hAnsi="Times New Roman;serif"/>
          <w:b w:val="false"/>
          <w:color w:val="231F20"/>
          <w:sz w:val="20"/>
        </w:rPr>
        <w:t>Any compromise, disruption, or failure of these systems could result in material adverse consequences, including operational disruptions, loss of data, regulatory investigations, reputational harm, and financial loss.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fail to adequately obtain, protect, and maintain our intellectual property rights or prevent third parties from making unauthorized use of such rights.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market price of our CDIs and common stock has been, and may in the future be, volatile, or may decline regardless of our operating performance and you could lose all or part of your investment.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indebtedness and liabilities could adversely affect our financial condition and results of operations and limit the cash flow available for our operations, which may impair our ability to satisfy our obligations under our 0.00% Convertible Senior Notes due 2030 (the “June 2025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unable to raise the funds necessary to repurchase the June 2025 Convertible Notes for cash following a fundamental change (as defined in the indenture governing the June 2025 Convertible Notes) or to pay any cash amounts due upon maturity or conversion of the June 2025 Convertible Notes, and our other indebtedness may limit our ability to repurchase the June 2025 Convertible Notes or to pay any cash amounts due upon their maturity or conversion.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Provisions in the indenture governing the June 2025 Convertible Notes could delay or prevent an otherwise beneficial takeover of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ability to attract, retain, and engage members and convert them into paying subscribers. We have in the past, and may in the future, experienced that the size of our member base has or may fluctuate or decline in one or more markets or periods from time to time. The sources and drivers of our member growth may change over time, and growth in one geography, channel, or member segment may not offset slower growth or declines in another.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Any number of factors can negatively affect member retention, growth, engagement, and conversion, some of which are not in our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members increasingly engage with other competitive products or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member behavior on any of our apps or with respect to any of our products or services changes, including decreases in the frequency of their use;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members lose confidence in the quality or usefulness of our products or services or have concerns related to safety, security, privacy (for example, children’s data and precise geolocation data), well-being, or other factors;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members do not perceive additional value in a paid subscription at all or at our pricing levels;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members or subscribers may not be willing to pay for subscriptions or hardware purchases;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members feel that their experience is diminished as a result of the decisions we make with respect to the frequency, prominence, format, size, and quality of ads that we display;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third-party initiatives that may enable greater use of our products and services, including low-cost or discounted data plans, are discontinued;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fail to detect or combat inappropriate, fraudulent, criminal, or abusive activity on our platform;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advertisers and partners display ads that are untrue, offensive, or otherwise fail to follow our guidelines;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fail to provide adequate customer service to members, marketers, or other partners.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we fail to monetize members through subscription plans, our business, financial condition, and results of operations may be harmed.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members using the free version of the Life360 app do not perceive additional value in a paid subscription or there is an actual or perceived reduction in the functionality, quality, reliability, and cost-effectiveness of our subscription plans, our ability to retain and grow paid subscriptions would be adversely impacted. Our failure to provide successful enhancements and new features that grow paid subscriptions may have a material adverse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we are not able to maintain the value and reputation of our brands, or if we are not able to compete successfully with current or future competitors, our ability to expand our member base and maintain our relationships with partners and other key service providers may be impaired and our business, financial condition, and results of operations may be harmed.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location-based services and item tracking markets grow. Many of our new members are referred by existing members. Maintaining our brands will depend largely on our ability to continue to provide useful, reliable, trustworthy, and innovative products and services, which will require us to make substantial investments and, if we fail to do so, our business, financial condition, and results of operations could be materially adversely affected.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U.S. and abroad. New technology developments, including the development and use of artificial intelligence (“AI”) and other emerging technologies, are rapidly evolving. If our competitors gain an advantage by using such technologies, our ability to compete effectively and our results of operations could be adversely impacted. We face significant competition in every aspect of our business, and competitors include both large competitors with various product and service offerings and many smaller competitors.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Potential competitors may also include operators of mobile operating systems and app stores. These mobile platform competitors could use strong or dominant positions in one or more markets, and access to existing large pools of potential members and personal information regarding those members, to gain competitive advantages over us. These competitors also control the app stores that are the principal means by which our members access our platform.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have in the past, and may in the future, need to change our pricing models to compete successfully.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October 2022, we have incrementally increased prices across our premium subscription offerings globally, while continuing to offer a freemium model that allows members to access core functionality at no cost. If we continue to increase prices for our products and services, demand for our solutions could decline as members adopt less expensive competing products and services, and our market share could suffer. We increased prices for our U.S. Life360 iOS and Android premium subscription offerings in December 2022 and April 2023, respectively, and for our United Kingdom and Australia and New Zealand Life360 iOS and Android subscriptions in the first half of 2024. The intense competition we face in the family safety, location-based services, and item tracking technology markets, in addition to general economic and business conditions, including inflation and rising interest rates, can impact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If we do not adapt our pricing models to reflect changes in customer use of our products and services or changes in customer demand, our revenues could decrease.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The market for our offerings is evolving, and our future success depends on the growth of this market and our ability to anticipate and satisfy consumer preferences in a timely manner.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is a risk that we will not be able to grow our member base outside of the U.S. in a way that provides the scale required to offer the full functionality of our services to a particular geography, or to a scale that will enable us to generate indirect revenue.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Changes to our existing brands, products, and services, or the introduction of new brands, products, or services, could fail to attract or retain members or generate revenue and profits.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but not limited to research and development, which may impair our ability to develop new products and services and enhancements of existing products and services, and could substantially increase our costs. For example, as we continue to expand our hardware offerings, including connected devices such as our recently launched Life360 Pet GPS tracker, we may be exposed to additional risks relating to product performance, quality, safety, or reliability. These devices may contain defects, experience performance issues, or fail to operate as intended. These may result from the design or manufacture of the product, or from the software or other components used in the product. Such issues could result in property damage, personal or pet injury, product returns, warranty claims, or product recalls. Any such issues, or the perception that our products are unsafe or unreliable, could damage our brand, lead to product liability claims or regulatory investigations, and require us to incur significant costs or expenses. Our insurance coverage may not fully protect us against all potential liabilities, and any resulting claims or adverse publicity could materially adversely affect our business, financial condition, and results of operations.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Unfavorable media coverage and publicity could damage our brands and reputation and materially adversely affect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Major media outlets have increased scrutiny of the location data market, including companies such as Life360. Unfavorable publicity or media reports, regardless of the veracity, concerning our data privacy and security practices, including those related to children and minors, security incidents, product or service changes, quality or features, litigation or regulatory activity, including any intellectual property proceeding, any investigation and/or enforcement activity from data protection or other regulatory authorities or proceeding relating to the privacy or security of our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subject of media articles, which could impact member retention, growth, engagement, and conversion as well as increase regulatory scrutiny of our actions or decisions regarding member privacy, security, encryption, content, contributors, advertising, and other issues, which may materially adversely affect our reputation and brands.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br/>
        <w:br/>
      </w:r>
      <w:r>
        <w:rPr>
          <w:rFonts w:ascii="Times New Roman;serif" w:hAnsi="Times New Roman;serif"/>
          <w:b/>
          <w:i/>
          <w:color w:val="000000"/>
          <w:sz w:val="20"/>
        </w:rPr>
        <w:t>Inappropriate actions by third parties or our members could be attributed to us and cause damage to our brands.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members may be physically, financially, emotionally, or otherwise harmed by other individuals through the use of one of our products or through features of our products. If one or more of our members suffers or alleges to have suffered any such harm as a result of our services,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reputation of our brands may also be materially adversely affected by the actions of our members or advertisers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and have adopted policies regarding illegal, offensive, or inappropriate use of our products and services, our members have in the past, and could in the future, nonetheless engage in activities that violate our policies. In addition, our advertisers may use our system or our members’ data in a manner inconsistent with our terms, contracts, or policies. Additionally, while our policies attempt to address illegal, offensive, or inappropriate use of our products, we cannot control how our members engage on our products. We may also be unsuccessful in our efforts to enforce our policies or otherwise prevent or remediate any such incidents. As a result, our existing safeguards may not be sufficient to avoid harm to our reputation and brands, especially if such hostile, offensive, or inappropriate use is well-publicized.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business could be harmed if we are unable to accurately forecast demand for our products and services and to adequately manage our product inventory.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invest broadly in our business, and such investments are driven by our expectations of the future success of a product or service. For example, our hardware devices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may be affected by many factors, including fluctuations in demand for our products and services or competing offerings, and unanticipated changes in general market or economic or political conditions. An inability to correctly forecast the success of a particular product or service could cause us to experience a shortage or to produce excess inventory levels resulting in write-offs, either of which could harm our business.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growth and profitability rely, in part, on our ability to attract members through cost-effective marketing efforts. Any failure in these efforts could materially adversely affect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Attracting members involves considerable expenditure for online and offline marketing. Historically, we have had to increase our marketing expenditures over time in order to build our brand awareness, attract members and drive our long-term growth. To continue to reach potential members and grow our business, we must identify and devote our overall marketing expenditures to newer advertising channels, such as mobile and online video platforms as well as targeted campaigns in which we communicate directly with potential, former and current members via new virtual means.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Distribution and marketing of, and access to, our products and services depend, in significant part, on third-party publishers, retailers,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 Such changes could also negatively affect the functionality, performance, or quality of our products and services.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and distribute our products and services (including the Life360 app, Tile app and Jiobit app) through our third-party platforms (each a “Channel Partner”). Our mobile applications are almost exclusively accessed through the Apple App Store and the Google Play Store, and we depend on Apple and Google approving our mobile applications on their respective platforms.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some of which are competitors or potential competitors of ours,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the standard policies and terms of service of these third-party platforms, which generally govern the promotion, distribution, content, and operation of applications on such platforms. Each Channel Partner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impose restrictions on access to our products by potential customers,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If one of our Channel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owners of mobile operating systems provide consumers with the ability to download products that compete with Life360. We have no control over our Channel Partners’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many of our subscription fees are collected by our Channel Partners and remitted to us. Historically, the number of new and retained members recorded by Life360’s internal database has differed from the number recorded by our Channel Partners in their respective databases and direct revenue is recognized based on the invoices received from our Channel Partners. Any delay to a remittance from our Channel Partners or difference in the numbers in our respective databases may lead to distortions between our expected direct revenue and our actual direct revenue and may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depend on retailers and distributors to sell and market our hardware products, and our failure to maintain and further develop our sales channels could harm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primarily sell our hardware products through retailers and distributors and depend on these third parties to adequately display, sell and market our products to consumers. However, we have recently decided to reduce our reliance on brick-and-mortar retail and focus more heavily on a direct-to-consumer (“DTC”) sales model including sales through our own online channels. As we transition away from physical retail, we may experience reduced brand visibility and consumer awareness previously supported by in-store placement and retailer promotion. In addition, our success in expanding and entering into new markets internationally will depend on our ability to establish relationships with new retailers and distributors, as well as our ability to scale our DTC sales capabilities in those markets. We also sell through, and will need to continue to expand our sales through, online retailers. If we do not maintain our relationship with existing retailers and distributors, or if our DTC strategy is not successful, our ability to sell our products and services could be adversely affected and our business may be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fiscal years ended December 31, 2025, 2024, and 2023, Amazon accounted for less than 10% of total revenue.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Select retailers and distributors make up the majority of our distribution channels. Accordingly, the loss of a small number of our large retailers, distributors, and distribution channels, or disruption caused by changes in our distribution strategy, could have a significant adverse impact on our operating results.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rely on a limited number of suppliers, manufacturers, and fulfillment partners for our smart trackers. A loss of or change with any of these partners could negatively affect our business, including the potential inability to produce or obtain quality products and services on a timely basis or in sufficient quantity.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outsource the manufacturing of our hardware devices to a single contract manufacturer located in Asia, Jabil, Inc., using our design specifications. To monitor the quality of our products, we conduct routine product audits.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work with third-party fulfillment partners that package and deliver our products to multiple locations worldwide, which allows us to reduce order fulfillment time, reduce shipping costs, and improve inventory flexibility. Our reliance on a single manufacturer for our hardware devices and a limited number of fulfillment partners for each of our smart trackers increases our risk since we do not currently have alternative or replacement suppliers beyond these key parties. In the event of an interruption from our manufacturer or any of our fulfillment partners, we may not be able to increase capacity from other sources or develop alternate or secondary sources without incurring material additional costs and substantial production delays. Furthermore, our manufacturer’s facilities are located in Malaysia and the PRC. Our business could be adversely affected if our manufacturer or one or more of our fulfillment partners is impacted by a natural disaster, political, social or economic instability, military conflict, bank failures, changing foreign regulations, labor unrest, pandemics, trade wars, or any other interruption at a particular location.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the loss of our manufacturer or any of our significant fulfillment partners could have an adverse effect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have limited control over our suppliers, manufacturers, fulfillment partners and inflation in costs, which subjects us to risks, including,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satisfy demand for our smart trackers;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reduced control over delivery timing and product reliability;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reduced ability to monitor the manufacturing process and components used in our smart trackers;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limited ability to develop comprehensive manufacturing specifications that take into account any materials shortages or substitutions;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variance in the manufacturing capability of our third-party manufacturers for our hardware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design and manufacturing defects;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price increases;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of a significant supplier, manufacturer, or fulfillment partner to perform its obligations to us for technical, market, or other reasons;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in establishing additional supplier, manufacturer, or fulfillment partner relationships if we experience difficulties with our existing suppliers, manufacturers, or fulfillment partners;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shortages of materials or components;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misappropriation of our intellectual property;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exposure to natural catastrophes, political unrest, terrorism, labor disputes, and economic instability resulting in the disruption of trade from foreign countries in which our smart trackers are manufactured or the components thereof are sourced;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local economic conditions in the jurisdictions where our suppliers, manufacturers, and fulfillment partners are located including as a result of global supply chain issues;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insufficient warranties and indemnities on components supplied to our manufacturers or performance by our partners.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we do not successfully coordinate the worldwide manufacturing, fulfillment, and distribution of our products, we could lose sales, which could materially adversely affect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requires us to coordinate the manufacture, fulfill, and distribution of our hardware products across the U.S.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Transportation costs, fuel costs, labor unrest, political unrest, natural disasters, regional or global pandemics, military conflicts,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manufacturer’s facilities are located in Malaysia and the PRC.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Our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manufacturer to operate and may increase its costs, which could adversely impact our results of operations, as well as our ability to deliver our products to our members in a timely manner and to meet demand for our smart trackers.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PRC’s legal system is a civil law system based on written statutes.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disruption in our supply chain from our manufacturer’s facilities in Malaysia could also significantly impact our ability to fill customer orders for our products. Our supply chain could be adversely impacted by the uncertainties such as health concerns and related governmental restrictions, natural disasters, inclement weather conditions, civil unrest including wars and armed conflicts, contractual disagreements, labor unrest, strikes, acts of terrorism, breaches of data security, and other adverse events.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expanded to new international markets and are growing our operations in existing international markets, which requires additional financial, legal, and management resources. As of the year ended December 31, 2025, international members represented approximately 47% of our total monthly active users (“MAU”) and accounted for approximately 15% of our total revenue. Offering our apps for download internationally and rolling out full-service memberships outside of the U.S., particularly in countries in which we have limited experience, exposes us to a number of additional risks including,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operational and compliance challenges caused by legal and regulatory, distance, language, and cultural differences;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in staffing and managing international operations and differing labor regulations for contractors and certain employees working internationally;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differing levels of social and technological acceptance and adoption of our products and services or lack of acceptance of them generally and the risk that our products and services may not resonate as deeply in certain international markets;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foreign currency fluctuations and related hedging activity;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restrictions on the transfer of funds among countries and back to the U.S., as well as costs associated with repatriating funds to the 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differing and potentially adverse tax laws and consequences;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competitive environments that favor local businesses or local knowledge of such environments;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use of international data hosting platforms and other third-party platforms;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low usage and/or penetration of internet connected consumer electronic devices;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lower prices paid by international subscribers.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expanding internationally increases the complexity of our operations and may subject us to additional risks, including compliance with local laws relating to privacy, security, consumer protection, advertising and location tracking technologies; restrictions on cross-border data transfers; challenges in localizing our products and marketing strategies; and difficulties achieving sufficient scale in new geographies.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occurrence of any or all of the risks described above could adversely affect our international operations, which could in turn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rely on key data partners, and any termination of our agreements with such data partners could have a material adverse effect on our revenues,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indirect revenue from key partners through the sale of data insights derived from the personal data we collect from our members. This revenue represented approximately 7% of our total revenue in each of the years ended December 31, 2025, 2024 and 2023. Termination of agreements with key partners may adversely impact our future financial performance.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future success depends on the continuing efforts of our executive officers and other key employees and our ability to attract and retain highly skilled personnel and senior management.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depend on the continued services and performance of our executive officers and other key employees. The risk that competitors or other companies may poach our talent increases as we continue to build our brands and become more well-known. The loss of key executive personnel as well as key engineering, product development, marketing, and sales personnel, could disrupt our operations and have a material adverse effect on our business. Changes in senior management, including planned leadership transitions, may create execution, continuity, or retention challenges that could adversely affect our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success will depend upon our continued ability to identify, hire, develop, motivate and retain highly skilled individuals across the globe, with the continued contributions of our senior management being especially critical to our success.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have invested, and in the future may invest, in new business strategies, partnerships or acquisitions. Such endeavors may involve significant risks and uncertainties, including distraction of management from current operations, the potential for greater-than-expected liabilities and expenses, economic, political, legal, and regulatory challenges associated with implementing new business strategies, operating in new regions or countries, inadequate return on capital, potential impairment of tangible and intangible assets, and significant write-offs. Investment, partnership and acquisition transactions are exposed to additional risks, including failing to obtain required regulatory approvals on a timely basis or at all, or the imposition of onerous conditions or other factors that could delay or prevent us from completing a transaction or otherwise limit our ability to fully realize the anticipated benefits of a transaction. New ventures are inherently risky and may not be successful. For example, in November 2024, we entered into a technology exclusivity and revenue sharing agreement with Hubble (the “Hubble Agreement”), under which we became the exclusive consumer application of their satellite Bluetooth</w:t>
      </w:r>
      <w:r>
        <w:rPr>
          <w:color w:val="000000"/>
        </w:rPr>
        <w:t xml:space="preserve"> </w:t>
      </w:r>
      <w:r>
        <w:rPr>
          <w:rFonts w:ascii="Times New Roman;serif" w:hAnsi="Times New Roman;serif"/>
          <w:b w:val="false"/>
          <w:color w:val="000000"/>
          <w:sz w:val="20"/>
        </w:rPr>
        <w:t>technology. We intend to connect the Company’s Tile Bluetooth trackers with Hubble’s satellites to create a global location-tracking network. However, our inability to realize the anticipated benefits of our transactions with Hubble could have a material adverse effect on our growth prospects and expectations. In addition, in November 2025, we agreed to acquire Nativo, Inc. (“Nativo”) and subsequently closed on January 2, 2026. The acquisition intends to accelerate the Company’s advertising roadmap and intends to position the company to scale a full-funnel ads platform. The failure of any significant investment or business strategy, opportunity, partnership or acquisition could materially adversely affect our business, growth prospects, expectations, reputation, results of operations and financial condition. Further, our ability to realize the expected benefits of acquisitions depends on the successful integration of acquired businesses, which may be complex, costly, and disruptive to our operations. Integration challenges may divert management attention, result in the loss of key personnel or customers, and lead to unanticipated expenses or operational inefficiencies. Failure to integrate acquisitions effectively or achieve anticipated synergies could materially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member metrics and other estimates are subject to inherent challenges in measurement, and real or perceived inaccuracies in those metrics may negatively affect our reputation and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regularly review metrics, including MAU, Paying Circles, subscription fees paid by Paying Circles for Life360 memberships, average revenue per Paying Circle (“ARPPC”), and Tile subscriptions to evaluate growth trends, measure our performance, and make strategic decisions. There are inherent challenges in measuring how our products and services are used across large populations globally. Our member metrics require significant judgment, have not been validated by an independent third-party and may differ from estimates or similar metrics published by third parties due to differences in sources, methodologies, or the assumptions on which we rely. Our member metrics are affected by technology on certain mobile devices that automatically runs in the background of our application when another phone function is used, and this activity can cause our system to miscount the member metrics associated with such an account. Given the complexity of the systems involved and the rapidly changing nature of mobile devices and systems, we expect to continue to encounter challenges, particularly if we continue to expand in parts of the world where mobile data systems and connections are less stable. Further, similar to other internet-based platforms, certain of our metrics (and their accuracy), have in the past been and may in the future be, affected by members whose behaviors violate our applicable terms of service, including by creating duplicative or violative accounts or other illegitimate activities such as bot-generated activity, which we may not be able to detect and could result in inaccuracies in or changes to the metrics we report publicly.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Errors or inaccuracies in our metrics or data could also result in incorrect business decisions and inefficiencies. Further, if our operational metrics are not accurate representations of our business, or if investors do not perceive these metrics to be accurate, or if we discover material inaccuracies with respect to these figures, our reputation may be significantly harmed, we may be subject to legal or regulatory actions, and our business, financial condition, results of operations and prospects could be materially adversely affected.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The limited operating history of our new brands, products, and services makes it difficult to evaluate our current business and future prospects.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have experienced rapid growth and demand for our products and services since inception, we have had operating losses in the past and we may not be able to maintain profitability in the future. We have expanded our operations rapidly, including as a result of organic growth and our acquisition of Tile and Nativo,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 xml:space="preserve">Unstable market and economic conditions may adversely affect consumer discretionary spending and demand for our products and services.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general business strategy may be adversely affected by any economic downturn, volatile business environment or continued unpredictable, and unstable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global economic conditions continue to be volatile or economic uncertainty remains, trends in consumer discretionary spending also remain unpredictable and subject to reductions. Our products and services may be considered discretionary items for consumers.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 We cannot predict the timing, strength, or duration of any economic slowdown or any subsequent recovery generally, of any industry in particular. If the conditions in the general economy and the markets in which we operate worsen from present levels, our business, financial condition, and results of operations could be materially adversely affected.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are affected by seasonality, which may cause fluctuations in our operating results and affect investor expectations.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Life360 has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and December largely driven by holiday demand. As a result, our revenue, member growth, and operating results may fluctuate from quarter to quarter and results for any interim period are not necessarily indicative of results for the full fiscal year. An unexpected decrease in sales over those traditionally high-volume selling periods may impact our revenue, result in surplus inventory, and have a disproportionate effect on our results of operations for the entire fiscal year. Seasonality in our business can also be affected by introductions of new or enhanced products and services, including the costs associated with such introductions. Variability in quarterly results due to seasonal patterns could also contribute to volatility in the market price of our common stock and CDIs.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derive a portion of our revenues from lead generation offerings. If we are unable to continue to compete for these lead generation offerings, or if any events occur that negatively impact our relationships with potential advertising partners, our partnership revenue, which includes advertising revenue, and results of operations will be negatively impacted.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a portion of our revenue by delivering product offerings from partners to members in contextually relevant ways that do not feel like advertisements. We intend to optimize programmatic advertising and establish direct partnerships with advertising partners with the aim of delivering targeted advertising on and off site.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is a risk that members may not engage with the lead generation offering or other advertisements at the scale necessary for potential advertising partners to spend a meaningful amount, or any of their advertising budget on the offering. There is a risk that advertisers will not utilize the lead generation offering or choose to advertise on our platform. A failure to grow the lead generation offering and to broadly expand our infrastructure for targeted advertisements may inhibit the development of a new advertising revenue stream and have a material adverse impact on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advertising offerings, including those developed through the acquisition of Nativo, are new and subject to various risks and uncertainties, which may adversely affect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advertising offerings, including those developed or enhanced as a result of our acquisition of Nativo, are at an early stage, and we have limited experience and operating history in operating and scaling an advertising business. As a result, our advertising revenue may not grow as we expect or at all. Our ability to successfully integrate Nativo’s technology, personnel, and operations, and to develop, scale, and monetize advertising offerings on our platform, depends on a number of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attract and retain advertisers;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fluctuations in membership, including those on ad-supported offerings, and overall member engagement with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volume, relevance, quality, and placement of advertisements shown to members, and members’ tolerance for advertising within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compete effectively for advertising spend against larger or more established advertising platforms;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seasonal, cyclical, macroeconomic, and industry-specific fluctuations in advertising budgets and demand;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availability, accuracy, and effectiveness of measurement, analytics, attribution, and reporting solutions, whether developed internally or provided by third parties, and our ability to improve or maintain the effectiveness of such tools;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how advertising inventory is measured, priced, or transacted across mobile devices and other platforms;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third-party policies, platforms, or technologies that affect our ability to deliver, target, or measure advertising;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regulatory, legislative, and industry developments relating to privacy, data protection, and the collection and use of data, including restrictions on ad targeting, measurement, or personalization;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legal, regulatory, or enforcement actions relating to advertising practices, content, or measurement methodologies;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potential liability, reputational harm, or member dissatisfaction arising from advertisements displayed on our platform.</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unable to effectively manage these risks, successfully scale our advertising offerings, or align advertising with member expectations and regulatory requirements, our advertising revenue may be limited, our member experience could be negatively affected, and our business, financial condition, and results of operations could be adversely affected.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require additional capital to support business growth and objectives, and this capital might not be available to us on reasonable terms, if at all, and may result in stockholder dilution.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introductions of new and enhanced product offerings, such as advertisements, the sale of aggregated, non-personally identifiable data for data insight purposes, and the continuing market adoption of our platform.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funding when needed on acceptable terms, or at all,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231F20"/>
          <w:sz w:val="20"/>
        </w:rPr>
      </w:pPr>
      <w:r>
        <w:rPr>
          <w:rFonts w:ascii="Times New Roman;serif" w:hAnsi="Times New Roman;serif"/>
          <w:b/>
          <w:i/>
          <w:color w:val="231F20"/>
          <w:sz w:val="20"/>
        </w:rPr>
        <w:t>If our estimates or judgments relating to our critical accounting policies prove to be incorrect, our results of operations could be adversely affected.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amounts reported in our financial statements and accompanying notes appearing elsewhere in this Annual Report on Form 10-K. We base our estimates on short duration historical experience and on various other assumptions that we believe to be reasonable under the circumstances, as provided in the section titled “Item 7. Management’s Discussion and Analysis of Financial Condition and Results of Operations — Critical Accounting Policies and Significant Management Estimates.” The results of these estimates form the basis for making judgments about the carrying values of assets, liabilities, and equity, and the amount of revenue and expenses.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Privacy and Cybersecurity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stringent and evolving laws (U.S. and foreign), regulations, rules, contracts, policies and other obligations related to data privacy and security, data protection, consumer protection, advertising, location tracking, digital tracking technologies, and the protection of minors. Our actual or perceived failure to comply with such obligations could lead to regulatory investigations or actions; litigation (including class action or similar lawsuits); fines and penalties; changes to or disruptions of our business operations; reputational harm; loss of revenue or profits; declines in member growth or engagement; and other material adverse business consequences. In certain foreign jurisdictions, we have limited operating experience, compliance risk may be heightened.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or service providers upon whom we rely) collect, receive, store, process, generate, use, transfer, disclose, make accessible, protect, secure, dispose of, transmit, and share (collectively, “process” and its conjugates)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 including California, have enacted comprehensive privacy laws that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automated decision-making or the sale of such information. If individuals were to exercise these rights at a significant volume or pace, such actions may impact our business and ability to provide our products and services. These laws may also allow for regulators to impose statutory fines or allow private claimants to recover damages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 such as those noted below. These developments may further complicate compliance efforts and may increase legal risk and compliance costs for us and the third parties upon whom we rely.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Federal, state and local privacy and consumer protection laws also govern specific technologies that we employ or how we market to, and otherwise communicate with, our members. For example, CAN-SPAM and TCPA impose specific requirements on communications with consumers. The TCPA, for instance, imposes various consumer consent requirements and other restrictions on certain telemarketing activity and other communications with consumers by phone, fax or text message. We may also use parental consent and identity verification technologies (including those offered by or through service providers) that may capture biometric information or identifiers that may subject us to applicable biometric privacy legal requirements. For example, the Illinois Biometric Information Privacy Act (“BIPA”), regulates the collection, use, safeguarding, and storage of Illinois residents’ biometric information or identifiers. The TCPA and BIPA provide for substantial penalties and statutory damages and have generated significant class action activity. The costs of litigating and/or settling a TCPA, BIPA or similar legal claim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regulators are increasingly scrutinizing companies that process children’s data. We are subject to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as well as injunctive and equitable relief for violations. COPPA requirements may be modified, interpreted, or applied in new manners that we may be unable to anticipate or prepare for appropriately. Specifically, the updated COPPA rule includes new requirements, including obtaining separate parental consent for data sharing with third parties for targeted ads and other non-integral purposes, prohibiting indefinite retention of children’s data, requiring additional policies, expanding parental notice requirements, and expanding the definition of covered information. Additional laws and regulations that apply to children’s data under certain circumstances have been adopted or proposed in recent years, including the GDPR, the UK Age-Appropriate Design Code, the CCPA and other comprehensive state privacy laws. These laws generally impose various obligations on companies that process children’s data, such as requiring certain consents to process such data, age verification requirements and extending certain rights to children and their parents with respect to that data. Some of these obligations have wide ranging applications, including for services that do not intentionally target child users (defined in some circumstances a user under the age of 18 years old). These laws are or may be subject to legal challenges and changing interpretations, which may further complicate our efforts to comply with these laws and could lead to increased compliance costs.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several states enacted laws regulating social media companies and platforms. These laws may be subject to legal challenges and the attendant heightened scrutiny associated with processing certain children’s data on social media platforms may lead to increased compliance costs and obligations on us, to the extent we could be considered subject to these laws.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certain U.S. state privacy laws impose heightened requirements and restrictions specifically on the collection, use, retention, and disclosure of precise geolocation data, which is a core component of our products and services. These laws may require express user consent, impose limitations on permitted processing purposes, restrict data sharing, and provide individuals with expanded rights relating to precise geolocation information. As new state privacy laws continue to be enacted and existing laws are amended, interpreted, or enforced, we may be required to modify our data practices, product features, user interfaces, internal processes, or technical controls, or to limit or discontinue certain uses of precise geolocation data. Compliance with these requirements may increase operational complexity and costs, and differing or inconsistent state requirements may further complicate our compliance efforts. If our ability to collect, use, or process precise geolocation data is materially restricted, or if we fail to comply with applicable requirements, our products and services may become less effective or attractive to members, and we could be subject to regulatory inquiries, enforcement actions, fines, litigation, or reputational harm, any of which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Outside the U.S., an increasing number of laws, regulations, and industry standards may govern personal data privacy and security, which could increase our compliance costs and subject us to potential fines from numerous regulatory agencies. In addition, we may be unable to transfer personal data from Europe, the UK, and other jurisdictions to the U.S. or other countries due to data localization requirements or limitations on cross-border data flows. Europe, the UK, and other jurisdictions have enacted laws limiting the transfer of personal data to other countries. In particular, the EEA and the UK restrict the transfer of personal data to the U.S. and other countries whose privacy laws they consider inadequate, unless a data transfer mechanism has been put in place or a derogation under the GDPR can be relied on. In certain cases, a transfer impact assessment (“TIA”) must also be carried out to, among other things, assess laws governing access to personal data in the recipient country and consider whether supplementary measures that provide privacy protections additional to those provided under the appropriate data transfer mechanism will need to be implemented to ensure an “essentially equivalent” level of data protection to that afforded in the EEA/UK. Other jurisdictions may adopt similarly stringent interpretations of their data localization and cross-border data transfer laws. Although there are currently various mechanisms that may be used to transfer personal data from the EEA and UK to the U.S. in compliance with law, these mechanisms are subject to legal challenges (which may result in their invalidation). There is no assurance that we can satisfy or rely on these measures in all circumstances to transfer personal data to the U.S. as they alone may not necessarily be sufficient as transfers must be assessed on a case-by-case basis and the requirements may change if they are challenged.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Regulators in the U.S. are also increasingly scrutinizing certain personal data transfers and may impose personal data localization requirements.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personnel currently use generative AI technologies to perform their work for example in the context of development productivity tools and limited internal communication. The disclosure and use of personal data in generative AI technologies may be subject to various privacy laws and other obligations. Governments have passed and are likely to pass additional laws regulating generative AI, such as the EU’s Artificial Intelligence Act (the “AI Act”). The AI Act imposes regulatory requirements onto AI system providers, importers, distributors, and deployers, in accordance with the level of risk involved with the AI system (“unacceptable”, “high”, “limited”. risk). Moreover, states such as Colorado, Utah and California, have passed or are considering legislation or regulation governing the development or use of AI technologies, supplementing the existing consumer protection and other regulatory guidance that may apply to the use of AI technologies in our business, and which may impact our use of technology.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use of this technology could result in additional compliance costs, regulatory investigations and actions, and consumer lawsuits.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or market our products and reach new members, which could materially impair the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evolving EU and UK privacy laws on the deployment of cookies, tracking technologies and e-marketing. In the EU and the UK, regulators are increasingly focusing on compliance with requirements related to the behavioral, interest-based, or tailored advertising ecosystem. Enforcement actions could lead to substantial costs, require significant systems and/or operational changes, limit the effectiveness of our marketing activities, divert the attention of our technology personnel, adversely affect our margins, and subject us to additional liabilities. In light of the complex and evolving nature of EU, EU Member State and UK laws on the deployment of cookies and tracking technologies,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because we accept debit and credit cards for payment of certain products and services, we are subject to the Payment Card Industry Data Security, or the PCI Standard, issued by the Payment Card Industry Security Standards Council, with respect to payment card information. The PCI DSS requires merchants to adopt certain measures to protect the security of cardholder information, such as using and maintaining firewalls, adopting proper password protections for certain devices and software, and restricting data access. Compliance with the PCI Standard and implementing related procedures, technology and information security measures requires ongoing attention and devotion of resources. Costs and potential problems and interruptions associated with the implementation and maintenance of systems and technology, such as those necessary to achieve compliance with the PCI Standard could also disrupt or reduce the efficiency of our operations. Noncompliance with PCI DSS, to the extent applicable to us, can result in penalties, litigation, damage to our reputation, and revenue losses. Generally, we rely on vendors to process payment card data and those vendors may be subject to PCI DSS. Our business may be negatively affected if our vendors are fined or suffer other consequences as a result of PCI DSS noncompliance.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Our business model materially depends on our ability to process personal data, so we are particularly exposed to the risks associated with the rapidly changing legal landscape. Preparing for and complying with these obligations requires us to devote significant resources and may necessitate changes to our services, information technologies, systems, and practices and to those of any third parties that process personal data on our behalf.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 the past received inquiries and been subject to investigations, proceedings, orders, and other various inquiries and claims brought by regulators and private claimants regarding our data privacy (including in relation to children’s data) and security practices and processing of personal data. We may in the future be subject to similar inquiries, claims and other proceedings.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Providers of online websites, applications and services are subject to various laws, regulations, and other requirements relating to children’s privacy and protection, which if violated, could subject us to an increased risk of litigation and regulatory actions.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Children’s privacy has been a regular focus of regulatory enforcement activity and subjects our business to potential liability that could adversely affect our business, financial condition, or operating results. The FTC and state attorneys general in the U.S. have in recent years increased enforcement of COPPA. In addition, where a controller relies on consent to process personal data belonging to a child (which can vary from the age of thirteen to sixteen depending on jurisdiction), the GDPR requires that such consent is provided by a parent or guardian. The CCPA requires companies to obtain the consent of children in California under the age of sixteen (or parental consent for children under the age of thirteen) before selling their personal information. In addition, several jurisdictions have issued enforceable codes for designing online services that will be used by children. Our services include the collection of data, including personal data and precise geolocation data, directly from devices associated with children, which fall within the scope of these child privacy laws, regulations and requirements. Although we take reasonable efforts to comply with these laws and regulations, we may in the future face claims under COPPA, the GDPR, the CCPA, or other laws relating to children’s privacy.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are also a number of legislative or regulatory proposals pending before the U.S. Congress, various state legislative bodies and foreign governments concerning child or teen safety, content regulation and data protection that could affect us if enacted in the future.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(including class action or similar lawsuits); fines and penalties; disruptions of our business operations; reputational harm; loss of revenue or profits; and other adverse consequences.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the third parties upon which we rely process proprietary, confidential, and sensitive data (such as precise geolocation data and information relating to children),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the third parties upon which we rely may be subject to and have previously responded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bot-generated activity,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may continue to develop and use more sophisticated tools and techniques (including AI) that are specifically designed to circumvent security controls, evade detection, and obfuscate forensic evidence, which may make it more difficult for us to identify, investigate, respond to and recover from incidents.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r>
        <w:rPr>
          <w:rFonts w:ascii="Times New Roman;serif" w:hAnsi="Times New Roman;serif"/>
          <w:b w:val="false"/>
          <w:color w:val="231F20"/>
          <w:sz w:val="20"/>
        </w:rPr>
        <w:t>Additionally, to offer services to our customers and operate our business, we use a number of products and services, such as IT networks and systems, including those we own and operate as well as others provided by third-party providers. Our ability to provide our platform and services could be interrupted if these systems were impacted by a ransomware or other cyber-attack.</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efforts to investigate, mitigate, contain, and remediate a security incident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coding issue, malfunction or other interruption, we could experience adverse consequences.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respect to data or information system vulnerabilities, we may be unable now or in the future to detect all vulnerabilities or other compromises in our data or information systems because such threats and techniques change frequently, are often sophisticated in nature, and may not be detected until after a security incident has occurred. While we take steps designed to mitigate the risks associated with such known vulnerabilities, there can be no assurance that these controls and measures will always be effective and thus there remains risks associated with both known and unknown vulnerabilities. Further, we may experience delays in developing and deploying remedial measures designed to address any such identified vulnerabilities.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sensitive data that our members, advertisers, and partners have shared with us) or our information technology systems, or those of the third parties upon whom we rely, or impact the calculation or measurement of our member metrics or other estimates, as disclosed above. A security incident or other interruption could disrupt our ability (and that of third parties upon whom we rely) to provide our services.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our third-party providers have been and may in the future be compromised by the aforementioned or similar threats, and result in unauthorized, unlawful, or accidental processing of our information, or vulnerabilities in the products or systems upon which we rely. For example, we have previously experienced credential stuffing attacks and other security incidents, including coding issues and instances of unauthorized access to certain member data. We determined that none of these incidents were material to us. We have encountered and may in the future encounter attempts to create false or other illegitimate member accounts or to take other unauthorized actions on or through our platform and services.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Applicable data privacy and security obligations may require us, or we may choose, to notify relevant stakeholders, such as governmental authorities, partners, and affected individuals, of security incidents. Such disclosures may involve inconsistent requirements and are costly, and the disclosure or the failure to comply with applicable requirements could lead to adverse consequences. If we (or a third party upon whom we rely) experience a security incident or are perceived to have experienced a security incident, we may experience, and at times in the past have experienced,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and mass arbitration demands); indemnification obligations; negative publicity; reputational harm; monetary fund diversions; interruptions in our operations (including availability of data); direct and indirect financial loss (including due to potential loss of members, partners, or advertising revenue); and other similar harms. Security incidents and attendant consequences may cause customers to stop using our services, deter new customers from using our services, disrupt our ability to provide our products and services, and negatively impact our ability to grow and operate our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Technology and Intellectual Property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success depends, in part, on the integrity of third-party systems and infrastructures, and on the continued and unimpeded access to our products and services on the internet.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Amazon Web Services (“AWS”) for the provision of our computing, network, database, software development platforms and software infrastructure. We procure mapping services from our Channel Partners. We have designed our software and computer systems to utilize data processing, storage capabilities, and other services provided by AWS, and currently rely on such providers for the vast majority of our primary data storage and computing. If the AWS contract or contracts with other key suppliers in the future are terminated or suffer a disruption for any reason, our business, financial condition and results of operations could be materially adversely impacted.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Similarly, under our warranty program agreement with Cover Genius Warranty Services, LLC (“Cover Genius”), Cover Genius administers warranties and service contracts on behalf of Tile. If the Cover Genius contract were to be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have experienced infrastructure outages by our service providers, and expect to experience more outages in the future.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“Item 1A. Risk Factors</w:t>
      </w:r>
      <w:r>
        <w:rPr>
          <w:color w:val="000000"/>
        </w:rPr>
        <w:t xml:space="preserve"> — </w:t>
      </w:r>
      <w:r>
        <w:rPr>
          <w:rFonts w:ascii="Times New Roman;serif" w:hAnsi="Times New Roman;serif"/>
          <w:b w:val="false"/>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(including class action or similar lawsuits); fines and penalties; disruptions of our business operations; reputational harm; loss of revenue or profits; and other adverse consequences.”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success depends, in part, on the integrity of our information technology systems and infrastructures, as well as those of third parties on which we rely, and on our ability to enhance, expand, and adapt these systems and infrastructures in a timely and cost-effective manner. Any compromise, disruption, or failure of these systems could result in material adverse consequences, including operational disruptions, loss of data, regulatory investigations, reputational harm, and financial loss.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continually work to expand and enhance the efficiency and scalability of our technology and network systems to improve the experience of our members, accommodate substantial increases in the volume of traffic to our various products, provide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fail to adequately obtain, protect, and maintain our intellectual property rights or prevent third parties from making unauthorized use of such rights.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 names or other intellectual property rights may be challenged, infringed, circumvented or declared generic or determined to be infringing on other marks.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U.S. Further, we may not timely or successfully apply for a patent to secure rights in our intellectual property.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increasing use of AI and machine learning technologies presents additional challenges to the protection and enforcement of intellectual property rights. The legal framework governing ownership, protectability, and enforceability of intellectual property created or assisted by AI is evolving and remains uncertain. The use or adoption of such technologies may increase our exposure to claims that our products, services, or technologies infringe the intellectual property rights of third parties, or that our own intellectual property rights are limited or unenforceable. If we are unable to adequately protect or enforce intellectual property rights related to AI-enabled technologies, or if we are subject to increased intellectual property claims arising from the use of such technologies, our competitive position,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U.S. may adversely affect our ability to obtain patents and may facilitate third-party challenges to any owned or licensed patents.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was to be disclosed or misappropriated, or if any such information was independently developed by a competitor, our competitive position would be materially adversely harmed.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From time to time, we have been and may be party to intellectual property-related litigation and proceedings that are expensive and time-consuming to defend, and, if resolved adversely, could materially adversely impact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we gain greater public recognition, face increasing competition and develop new products, we expect the number of patent and other intellectual property claims against us may grow.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use of “open source” software could subject our proprietary software to general release, adversely affect our ability to sell our products and services and subject us to possible litigation.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Legal Matters and Our Regulatory Environment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laws regulating subscription and auto-payment renewals may be unfavorable, which could have a material adverse effect on our business, reputation,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certain federal and state laws that govern the ability of members to cancel subscriptions and auto-payment renewals. These laws require companies to adhere to various consent, notice, disclosure and cancellation requirements when entering into automatically renewing contracts with subscription customers. As this area of the law evolves, we are committed to reviewing and amending our practices accordingly. Regulators and plaintiffs have brought enforcement and litigation actions challenging automatic renewal and subscription programs. Any failure, or perceived failure, by the Company to comply with any of these laws or regulations could result in damage to our reputation, lost business, and proceedings or actions against us by governmental entities or others, which could impact our operating results.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a variety of laws and regulations in the U.S.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comply,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To the extent internet service providers engage in any blocking, throttling or “paid prioritization” of content or similar actions as a result of an FCC order and the adoption of similar laws or regulations, our business, financial condition and results of operations could be materially adversely affected.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variety of statutory and common-law frameworks and defenses relevant to the content available on the Life360 Platform, including the Digital Millennium Copyright Act, the Communications Decency Act (“CDA”) and the fair-use doctrine in the U.S., and the Electronic Commerce Directive in the European Union. However, each of these statutes is subject to uncertain or evolving judicial interpretation and regulatory and legislative amendments. There have been various federal and state legislative efforts to restrict the scope of the protections available to online platforms under the CDA, in particular with regards to Section 230 of the CDA, and current protections from liability for third-party content in the U.S. could decrease or change. We could incur significant costs investigating and defending such claims and, if we are found liable, significant damages.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European Union is also focused on the regulation of digital services and online platforms. The DSA came into force in 2022, with the majority of the substantive provisions taking effect in 2024. The DSA could create potential liability for us for illegal services and products or content on our platform and imposes obligations around traceability of business users and enhanced transparency measures (including in relation to any recommender systems (including the main parameters used by such systems and any available options for recipients to modify or influence them)). In addition to the general DSA obligations, we may be subject to obligations if we are considered a hosting service, such as implementing a notice and takedown procedure for allegedly illegal content, and reporting to national law enforcement or judicial authorities of relevant EU Member States of information that gives rise to suspicions of criminal offenses involving a threat to the life or safety of persons. Further, the DSA contains more stringent requirements for hosting providers that qualify as “online platform” such as the requirement that user interfaces may not deceive or manipulate users. The DSA may increase our compliance costs, require changes to our user interfaces, processes, operations, and business practices which may adversely affect our ability to attract, retain and provide our services to members, and may otherwise adversely affect our business, operations and financial condition, and increase our overall regulatory and civil liability. In addition, the UK enacted the Online Safety Act in 2025, which imposes new obligations and potential liabilities for online platforms with respect to certain types of harmful content. Other European jurisdictions have also proposed or intend to pass similar laws. While the scope and timing of these proposals are currently uncertain, if the rules, doctrines or currently available defenses change, if international jurisdictions refuse to apply similar protections that are currently available in the U.S., UK,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fail to comply with laws regulating subscriptions and auto-payment renewals, which could have a material adverse effect on our business, reputation,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certain federal and state laws that govern the ability of members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Adverse litigation judgments or settlements resulting from legal proceedings in which we may be involved could have a material adverse effect on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been in the past, are, and may in the future become, subject to litigation and various legal proceedings (including, without limitation, government and private party inquiries and claims),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3. Legal Proceedings.”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ability to use our net operating losses and certain other tax attributes to offset future taxable income may be subject to certain limitations.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under Section 382 and 383 of the U.S. Internal Revenue Code of 1986, as amended, or (the “Code”), a corporation that undergoes an ‘‘ownership change’’ is subject to limitations on its ability to utilize its pre-change net operating losses, or (“NOLs”), and other pre-change tax attributes, such as research tax credits,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2025, we have approximately $339.9 million and $135.4 million of federal and state net operating loss carryforwards, respectively, available to offset future taxable income which, if not utilized, will begin to expire in varying amounts in 2027. The Company performed a Section 382 analysis through December 31, 2025 and does not expect any previous ownership changes to result in a limitation that will materially reduce the total amount of net operating loss carryforwards and credits that can be utilized. However, future changes in our stock ownership, some of which are outside of our control, could result in an ownership change under Section 382 of the Code, limiting our ability to utilize NOLs and other tax attributes arising prior to such ownership change in the future.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U.S. federal income tax purposes, NOLs arising in tax years beginning before January 1, 2018 can be carried forward to the earlier of the next subsequent twenty tax years or until such losses are fully utilized. NOLs arising in tax years beginning after December 31, 2017 are not subject to the twenty-year limitation, but our use of such net operating losses in a tax year may not exceed 80% of such year’s taxable income. Certain U.S. states have imposed additional limitations on the use of state net operating loss carryforwards. There is also a risk that due to regulatory changes, such as suspensions on the use of NOLs, or other unforeseen reasons, our existing NOLs could expire or otherwise be unavailable to offset future income tax liabilities.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are subject to taxation related risks in multiple jurisdictions.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Tax authorities are increasingly scrutinizing the tax positions of companies. Many countries in the European Union, as well as a number of other countries and organizations, such as the Organization for Economic Cooperation and Development (“OECD”)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Further, more than 140 countries agreed to enact the Pillar II global minimum tax. While the OECD issued a framework model, each country will enact its own laws to incorporate Pillar II. While Pillar II is a global model, the country by country enactment of different laws to incorporate the framework is complex and there is uncertainty as to how the enactment of these laws will impact us. These changes could increase our total tax burden in the future. Moreover, the U.S. government has in the past, and may in the future enact changes to the taxation of business entities such as the United States Inflation Reduction Act which, among other changes, introduced a 15% corporate minimum tax on certain U.S. corporations and a 1% excise tax on certain stock redemptions by certain publicly traded corporations.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 recently, in July 2025, the U.S. enacted the One Big Beautiful Bill Act (“OBBBA”), which made significant changes to the Code. Among other provisions, the OBBBA restored the immediate deductibility of domestic research and experimental (“R&amp;E”) expenditures for tax years beginning after December 31, 2024, while retaining the requirement to capitalize and amortize foreign R&amp;E expenditures. The OBBBA also introduced other complex tax provisions, including changes to provisions relating to income from non-U.S. subsidiaries. Although the full impact of the OBBBA will depend on future regulatory guidance and implementation, these changes may materially affect our effective tax rate, deferred tax balances, and cash taxes.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evaluate the impacts of these and other recent tax law changes on our business. Changes in or interpretations under the OBBBA or other existing or future tax legislation may increase our tax liabilities or compliance costs. Furthermore, future guidance from the IRS and other tax authorities, or judicial decisions interpreting these laws, could materially impact our provision for income taxes. Additionally, if the U.S. or other foreign tax authorities change applicable tax laws or practices, our overall tax liability could increase, and our business, financial condition and results of operations may be adversely impacted.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Actions by governments to restrict access to Life360 in their countries, or that otherwise impair our ability to sell advertising in their countries, could substantially harm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Governments may seek to censor content available on our app,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our app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additional tariffs on Chinese-origin goods are imposed, related countermeasures are taken by the PRC, additional tariffs are imposed on goods manufactured in Malaysia or other jurisdictions in which we operate, or we experience supply chain transformation setbacks, it could have an adverse impact on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Life360 and Tile’s products are currently manufactured in Malaysia and the PRC, making the pricing and availability of our products susceptible to international trade risks. International trade regulations remain volatile and as a result, our products manufactured in Malaysia, the PRC or any other country could be subject to increased tariffs, which may increase our costs. Although recent court rulings have invalidated certain previously imposed tariffs, the ultimate scope, timing, and implementation of any changes, including the process for potential refunds of prior payments, remain uncertain and could result in continued volatility or additional governmental action. An increase in tariffs on our products manufactured in Malaysia, the PRC or any other country could have a negative impact on our revenue, gross margins,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are subject to governmental export and import controls and economic sanction laws that could subject us to liability and impair our ability to compete in international markets.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U.S.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or reputational harm. Our failure to obtain required import, export or other transfer approval for our products could harm our international and domestic sales and adversely affect our revenue.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Common Stock and CDIs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market price of our CDIs and common stock has been, and may in the future be, volatile, or may decline regardless of our operating performance and you could lose all or part of your investment.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price of our CDIs on the ASX and of our common stock on the Nasdaq Global Select Market (“Nasdaq”) has been and may continue to be volatile, and could be subject to wide fluctuations. In addition, the trading volume in our CDIs and common stock has in the past and may in the future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regardless of our actual operating performance,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public reaction to our press releases, announcements and filings with the SEC and ASX;</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operating and financial performance;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fluctuations in market prices and trading volumes of technology;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market valuations of similar companies;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departures of key personnel;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commencement of or involvement in litigation;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economic and political conditions, financial markets, and/or the technology industry;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interest rate fluctuations;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accounting standards, policies, guidance, interpretations, or principles;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actions by our securityholders;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failure of securities analysts to cover our common stock and/or changes in their recommendations and estimates of our financial performance;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future sales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trading prices and trading volumes of our CDIs on the ASX and our common stock on the Nasdaq;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other factors described in these “Risk Factors”.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r>
        <w:rPr>
          <w:rFonts w:ascii="Times New Roman;serif" w:hAnsi="Times New Roman;serif"/>
          <w:b w:val="false"/>
          <w:color w:val="000000"/>
          <w:sz w:val="20"/>
          <w:shd w:fill="FFFFFF" w:val="clear"/>
        </w:rPr>
        <w:t>, which would harm our business, operating results or financial condition</w:t>
      </w:r>
      <w:r>
        <w:rPr>
          <w:rFonts w:ascii="Times New Roman;serif" w:hAnsi="Times New Roman;serif"/>
          <w:b w:val="false"/>
          <w:color w:val="000000"/>
          <w:sz w:val="20"/>
        </w:rPr>
        <w: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common stock is currently listed on Nasdaq and our CDIs are currently listed on the ASX. Trading in our common stock and CDIs therefore takes place in different currencies (U.S. dollars on the Nasdaq and Australian dollars on the ASX), and at different times (resulting from different time zones, different trading days and different public holidays in the U.S. and Australia). The trading prices of our common stock and our CDIs on two markets may differ as a result of these, or other, factors. Any decrease in the price of our common stock or CDIs on either market could cause a decrease in the trading prices of our CDIs or our common stock on the other market. In addition, investors may seek to profit by exploiting the difference, if any, between the price of our common stock on Nasdaq and the price of our CDIs on the ASX. Such arbitrage activities could cause our stock price in the market with the higher value to decrease to the price set by the market with the lower value and could also lead to significant volatility in the price of our common stock or CDIs.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securities and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on Nasdaq or our CDIs on the ASX is influenced by the research and reports that industry or securities analysts publish about us or our business. If one or more of the analysts currently covering our securities ceases coverage, the liquidity and trading price for our common stock on Nasdaq and our CDIs on the ASX would be negatively impacted. If any of the analysts who cover us downgrade our stock or issue an adverse or misleading opinion regarding us, our business model, our intellectual property or our common stock or CDI performance, or if our results of operations fail to meet the expectations of analysts, the trading price of our common stock or CDIs would likely decline.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Future sales of our common stock in the public market could cause the market price of our common stock to decline.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Future sales of a substantial number of shares of our common stock in the public market, or the perception that a sale might occur, could depress the market price of our common stock, and could impair our ability to raise capital through the sale of additional equity securities. For example, many of our existing equity holders have substantial unrecognized gains on the value of the equity they hold based upon the price of our common stock subsequent to our initial public offering in the U.S. (our “U.S. IPO”), and therefore, may take steps to sell their shares or otherwise secure the unrecognized gains on those shares. We are unable to predict the timing of or the effect that such sales may have on the prevailing market price of our common stock.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up to 8,402,396 shares of our common stock may be issued upon exercise of outstanding stock options or vesting and settlement of outstanding RSUs, and up to 15,118,992 shares of our common stock are available for future issuance under our 2011 Equity Incentive Plan, and will become eligible for sale in the public market to the extent permitted by the provisions of various vesting schedules, exercise limitations, the lock-up agreements and market stand-off provisions. We have registered all of the shares of our common stock issuable upon exercise of outstanding options or other equity incentive awards we may grant in the future for public resale under the Securities Act. If these additional shares of our common stock are sold, or if it is perceived that they will be sold, in the public market, the trading price of our common stock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Provisions of our charter documents and Delaware law may inhibit a takeover, which could limit the price investors might be willing to pay in the future for our common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stockholder proposals, including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required, pursuant to Section 404 Sarbanes-Oxley Act of 2002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because we ceased to be an “emerging growth company” as defined in the Jumpstart our Business Startups Act of 2012 as of December 31, 2023,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Our compliance with Section 404 requires that we incur substantial accounting expense and expend significant management efforts.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harm our business, results of operations, and financial condition and could cause a decline in the trading price of our common stock and CDIs.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and audit of our financial statements as of and for the fiscal year ended December 31, 2022, our management identified a material weakness in our internal control over financial reporting related to management’s risk assessment process over information technology general controls (“ITGCs”), including certain controls over logical access, segregation of duties and change management, and certain process level controls including information used in the execution of those controls that impacted our financial reporting processes. During 2023, we identified and implemented remedial measures to address the control deficiencies that led to the material weakness and determined our internal controls over financial reporting were effective as of December 31, 2023.</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Certificate of Incorporation provides, subject to certain exceptions, that the Court of Chancery of the State of Delaware is the exclusive forum for certain stockholder litigation matters and the U.S. federal district courts are the exclusive forum for actions arising under the Securities Act, which could limit our stockholders’ ability to bring a claim in a judicial forum that they find more favorable for disputes with us or our directors, officers, employees, or stockholders.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This exclusive forum provision does not apply to any actions brought to enforce a duty or liability created by the Securities Act, as amended, the Exchange Act or any other claim for which the U.S. federal courts have exclusive jurisdiction. In addition, our Certificate of Incorporation provides that, unless we consent in writing to the selection of an alternative forum, the sole and exclusive forum for the resolution of any complainant asserting a cause of action arising under the Securities Act shall be the U.S. federal district courts. The forum selection clauses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indebtedness and liabilities could adversely affect our financial condition and results of operations and limit the cash flow available for our operations, which may impair our ability to satisfy our obligations under our 0.00% Convertible Senior Notes due 2030 (the “June 2025 Convertible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outstanding indebtedness with a principal amount of $320.0 million, and we may incur additional indebtedness. Our indebtedness may reduce our financial flexibility, limit our ability to obtain additional financing, increase our vulnerability to adverse economic and industry conditions, and require us to use cash resources to satisfy repayment or conversion obligations. In addition, conversion of the June 2025 Convertible Notes may result in dilution to existing stockholders.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Before March 1, 2030, holders of our June 2025 Convertible Notes will have the right to convert their June 2025 Convertible Notes only upon the occurrence of certain events. From and after March 1, 2030, noteholders may convert their June 2025 Convertible Notes at any time at their election until the close of business on the second scheduled trading day immediately before the maturity date. However, many of the conditions that permit the conversion of the June 2025 Convertible Notes before March 1, 2030 are beyond our control. Upon conversion, we may be required to settle all or a portion of the conversion value in cash, which could require us to use significant liquidity.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do not have sufficient cash at maturity or upon conversion, we may need to refinance the notes or raise additional capital, which may not be available on acceptable terms or at all. In addition, a failure to satisfy our obligations under the notes or any future indebtedness could result in default and acceleration of repayment.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unable to raise the funds necessary to repurchase the June 2025 Convertible Notes for cash following a fundamental change (as defined in the indenture governing the June 2025 Convertible Notes) or to pay any cash amounts due upon maturity or conversion of the June 2025 Convertible Notes, and our other indebtedness may limit our ability to repurchase the June 2025 Convertible Notes or to pay any cash amounts due upon their maturity or conversion.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Holders of the June 2025 Convertible Notes may, subject to limited exceptions, require us to repurchase their June 2025 Convertible Notes following a fundamental change (as defined in the indenture governing the June 2025 Convertible Notes) at a cash repurchase price generally equal to the principal amount of the June 2025 Convertible Notes to be repurchased, plus accrued and unpaid special interest or additional interest, if any. Upon maturity of the June 2025 Convertible Notes, we must pay their principal amount and accrued and unpaid interest in cash, unless they have been previously repurchased, redeemed or converted. In addition, all conversions of the June 2025 Convertible Notes will be settled partially or entirely in cash. We may not have enough available cash or be able to obtain financing at the time we are required to repurchase the June 2025 Convertible Notes or pay any cash amounts due upon their maturity or conversion. In addition, applicable law, regulatory authorities and the agreements governing our other indebtedness may restrict our ability to repurchase the June 2025 Convertible Notes or to pay any cash amounts due upon their maturity or conversion, if any. Our failure to repurchase the June 2025 Convertible Notes or to pay any cash amounts due upon their maturity or conversion when required will constitute a default under the indenture governing the June 2025 Convertible Notes.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June 2025 Convertible Notes, if any.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capped call transactions entered into in connection with the pricing of the June 2025 Convertible Notes may affect the value of our common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June 2025 Convertible Notes, we entered into privately negotiated capped call transactions with certain option counterparties. The capped call transactions are expected to generally reduce the potential dilution to our common stock upon any conversion of the June 2025 Convertible Notes and/or offset any potential cash payments we are required to make in excess of the principal amount of converted June 2025 Convertible Notes, as the case may be, with such reduction and/or offset subject to a cap.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establishing their initial hedges of the capped call transactions, the option counterparties or their respective affiliates purchased shares of our common stock and/or entered into various derivative transactions with respect to our common stock concurrently with or shortly after the pricing of the June 2025 Convertible Notes.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June 2025 Convertible Notes and prior to the maturity of the June 2025 Convertible Notes (and (x) are likely to do so during any observation period related to a conversion of the June 2025 Convertible Notes or following any repurchase of the June 2025 Convertible Notes by us in connection with any redemption or fundamental change (as defined in the indenture governing the June 2025 Convertible Notes) and (y) are likely to do so following any repurchase of the June 2025 Convertible Notes by us other than in connection with any redemption or fundamental change if we elect to unwind a corresponding portion of the capped call transactions in connection with such repurchase). This activity could also cause or avoid an increase or a decrease in the market price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 and the capped call may not operate as planned.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option counterparties are, or are affiliates of, financial institutions, and we will be subject to the risk that any or all of them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any option counterparty.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Provisions in the indenture governing the June 2025 Convertible Notes could delay or prevent an otherwise beneficial takeover of us.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provisions in the June 2025 Convertible Notes and the indenture governing the June 2025 Convertible Notes could make a third-party attempt to acquire us more difficult or expensive. For example, if a takeover constitutes a fundamental change (as defined in the indenture governing the June 2025 Convertible Notes), then noteholders will have the right to require us to repurchase their June 2025 Convertible Notes for cash. In addition, if a takeover constitutes a make-whole fundamental change (as defined in the indenture governing the June 2025 Convertible Notes), then we may be required to temporarily increase the conversion rate. In either case, and in other cases, our obligations under the June 2025 Convertible Notes and the indenture governing the June 2025 Convertible Notes could increase the cost of acquiring us or otherwise discourage a third party from acquiring us or removing incumbent management, including in a transaction that noteholders or holders of our common stock may view as favorable.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Severe weather, natural disasters, global pandemics, acts of war or terrorism, theft, civil unrest, government expropriation or other external events could have significant effects on our business.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Severe weather and natural disasters, including hurricanes, tornados, earthquakes, fires, droughts and floods, acts of war or terrorism, epidemics and global pandemics,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For example, the conflict in Ukraine delayed certain projects due to temporarily reduced engineering capacity while we redeployed local teams. The occurrence of any such event could have a material adverse effect on our business, which, in turn, could have a material adverse effect on our financial condition and results of operations.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take a layered approach to cybersecurity and leverage multiple levels of controls designed to mitigate and minimize cybersecurity risks and protect the confidentiality, integrity, and availability of our critical systems and information. We have established and implemented policies and processes designed to assess, identify, and manage risks from cybersecurity threats, including those related to our products and SaaS security, and have integrated these activities into our operating model and enterprise risk management processes. We monitor for, and assess, material risks from cybersecurity threats such as unauthorized occurrences or events on or conducted through our information systems that may result in adverse effects to the confidentiality, integrity, or availability of our information systems or information, including personal information, proprietary information, and intellectual property.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Identification and Assessment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identify and assess risk, we maintain a cybersecurity risk register that is reviewed regularly and updated as appropriate. These risk assessments include identification of reasonably foreseeable internal and external risks, consideration of our use of third-party service providers and vendors, the likelihood and potential damages that could result from such risks (to the extent known), and the potential sufficiency of existing mitigating policies, procedures, systems, and safeguards. Risk is scored based on the potential impact to the business (inherent risk) and re-scored based on mitigations in place (residual risk). Following this assessment, we determine opportunities to further mitigate identified risks, including potential changes to controls and processes.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 Mitigation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implement and maintain various technical, physical, and organizational measures, processes, standards, and policies designed to manage and mitigate material risks from cybersecurity threats, including those related to our products and SaaS security. These measures include monitoring our information systems, networks, and devices for potential threats, managing vulnerabilities, and updating systems and tools to address identified risks or emerging threat vectors. Changes to material systems are governed by our change management processes, and we evaluate certain systems for potential vulnerabilities on a periodic basis. We also maintain processes designed to control access to material systems, which are reviewed and updated as appropriate. We also use third-party service providers, some of which incorporate machine-learning or AI capabilities, to assist in detecting anomalous activity and identifying potential cybersecurity threats.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product development and operational practices, we incorporate security reviews intended to identify and mitigate potential risks in our products and services. These reviews may include penetration testing, secure development practices, and the use of automated tools to help identify potential vulnerabilities.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Vendor Management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providing our products and services, we use third-party vendors and applications extensively. We onboard material vendors through a vendor review process, which includes a security assessment, and evaluate certifications and testing as relevant. Vendors are reviewed periodically to assess compliance and related cybersecurity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To date, we have not identified cybersecurity incidents that have materially affected our business strategy, results of operations, or financial condition. However, cybersecurity threats continue to evolve and future incidents could be material. Threat actors are also increasingly leveraging AI to enhance phishing, social engineering, and attack automation.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Responsibilities of the Board of Directors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provides oversight of our risk management process, including risks from cybersecurity threats. Our Board is responsible for monitoring and assessing strategic risk exposure and the mitigation and remediation of cybersecurity incidents, and our executive officers (including our Chief Executive Officer and Chief Financial Officer) are responsible for the day-to-day management of the material risks we face, including cybersecurity risks. Our Board administers its cybersecurity risk oversight function as a whole, as well as through the Audit Committee (“AC”). Our corporate information security team informs the Board and AC of certain cybersecurity risks and threats during quarterly meetings and provides materials shared in connection with such meetings, as well as ad hoc updates when there are material developments or changes that may impact cybersecurity risk to the company. Refer to “Item 10. Directors, Executive Officers and Corporate Governance” section of this Annual Report for additional information regarding the AC and other committees of the Board as well as the AC charter.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Responsibilities of Management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corporate information security team, reporting to our Chief Technology Officer, is primarily responsible for assessing and managing material risks from cybersecurity threats, defining and overseeing our corporate security program, reviewing technical designs and vendors for security risks, and managing our security tools and infrastructure. The team supervises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the information technology systems environment, including those described in “Item 1C. Cybersecurity</w:t>
      </w:r>
      <w:r>
        <w:rPr>
          <w:color w:val="000000"/>
        </w:rPr>
        <w:t xml:space="preserve"> — </w:t>
      </w:r>
      <w:r>
        <w:rPr>
          <w:rFonts w:ascii="Times New Roman;serif" w:hAnsi="Times New Roman;serif"/>
          <w:b w:val="false"/>
          <w:color w:val="000000"/>
          <w:sz w:val="20"/>
        </w:rPr>
        <w:t xml:space="preserve">Risk Management and Strategy.”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information security team provides frequent briefings to management regarding the Company’s cyber security risks and risk-mitigation efforts, which may include recent incidents and related responses, newly identified risks, changes to the security program, and activities of third parties and vendors, as appropriate. Management provides cybersecurity updates to executive management and the Board through meetings and materials shared in connection with those meetings, as well as ad hoc updates when there are material developments or changes.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Incident Response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cybersecurity incident response procedures designed to identify, assess, escalate, and remediate cybersecurity incidents. These procedures include processes for evaluating the nature and potential impact of an incident, determining whether disclosure or regulatory reporting is required, and coordinating response efforts across relevant internal teams and external specialists, as appropriate. Significant cybersecurity incidents are reported to senior management and, when appropriate, to the Board of Directors or the AC.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2. Properties. </w:t>
      </w:r>
    </w:p>
    <w:p>
      <w:pPr>
        <w:pStyle w:val="TextBody"/>
        <w:bidi w:val="0"/>
        <w:spacing w:lineRule="auto" w:line="288" w:before="12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Delaware corporation with a globally distributed workforce. Since 2020, we have operated as a remote-first company and intend to continue doing so indefinitely. While our employees primarily work remotely, all have the option to work from our San Mateo, California office, or at other flexible workspaces. All of our facilities are leased. We believe our facilities are adequate for our needs and that suitable additional or alternative space will be available to support our operations, if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and have been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Note 10, "Commitments and Contingencies" in the notes to the consolidated financial statements under the caption “Litigation and Arbitration”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5. Market for Registrant’s Common Equity, Related Stockholder Matters and Issuer Purchases of Equity Securities.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CDIs began trading on the Australian Securities Exchange under the symbol “360” on May 10, 2019. On June 6, 2024, our common stock began trading on The Nasdaq Stock Market under the symbol “LIF.”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February 24, 2026, there were approximately 225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w:t>
      </w:r>
      <w:r>
        <w:rPr>
          <w:color w:val="000000"/>
        </w:rPr>
        <w:t xml:space="preserve"> </w:t>
      </w:r>
      <w:r>
        <w:rPr>
          <w:rFonts w:ascii="Times New Roman;serif" w:hAnsi="Times New Roman;serif"/>
          <w:b w:val="false"/>
          <w:color w:val="000000"/>
          <w:sz w:val="20"/>
          <w:shd w:fill="FFFFFF" w:val="clear"/>
        </w:rPr>
        <w:t>to such restrictions, any future determination to pay dividends or other distributions from our reserves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shows a comparison of the change in the cumulative total return for our common stock, the S&amp;P 500 Index, and the ASX 200 Index. The graph assumes $100 was invested (with reinvestment of all dividends, as applicable) at the close of market on December 31, 2020. The value of our common stock prior to our June 2024 U.S. IPO is based on the closing price per share of our common stock on the ASX and the daily exchange rate as reported by Tullett Prebon for conversion of Australian dollars into U.S. dollars. The value of our common stock subsequent to our June 2024 U.S. IPO is based on the closing price per share of our common stock as reported by Nasdaq Stock Market LLC. All values and are presented in USD. The comparisons are based on historical data and are not indicative of, nor intended to forecast, the future performance of our common stock.</w:t>
      </w:r>
    </w:p>
    <w:p>
      <w:pPr>
        <w:pStyle w:val="TextBody"/>
        <w:bidi w:val="0"/>
        <w:spacing w:before="120" w:after="283"/>
        <w:jc w:val="both"/>
        <w:rPr/>
      </w:pPr>
      <w:r>
        <w:rPr/>
        <w:drawing>
          <wp:inline distT="0" distB="0" distL="0" distR="0">
            <wp:extent cx="6000750" cy="3343275"/>
            <wp:effectExtent l="0" t="0" r="0" b="0"/>
            <wp:docPr id="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 descr=""/>
                    <pic:cNvPicPr>
                      <a:picLocks noChangeAspect="1" noChangeArrowheads="1"/>
                    </pic:cNvPicPr>
                  </pic:nvPicPr>
                  <pic:blipFill>
                    <a:blip r:embed="rId2"/>
                    <a:stretch>
                      <a:fillRect/>
                    </a:stretch>
                  </pic:blipFill>
                  <pic:spPr bwMode="auto">
                    <a:xfrm>
                      <a:off x="0" y="0"/>
                      <a:ext cx="6000750" cy="3343275"/>
                    </a:xfrm>
                    <a:prstGeom prst="rect">
                      <a:avLst/>
                    </a:prstGeom>
                  </pic:spPr>
                </pic:pic>
              </a:graphicData>
            </a:graphic>
          </wp:inline>
        </w:drawing>
      </w:r>
      <w:bookmarkStart w:id="0" w:name="i-1"/>
      <w:bookmarkEnd w:id="0"/>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Recent Sales of Unregistered Equity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erif" w:hAnsi="Times New Roman;serif"/>
          <w:b/>
          <w:color w:val="000000"/>
          <w:sz w:val="20"/>
        </w:rPr>
        <w:t>Item 6. [Reserved]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should be read in conjunction with our consolidated financial statements and related notes appearing elsewhere in this Annual Report on Form 10-K. In addition to historical financial information, the following discussion contains forward-looking statements based upon current plans, expectations, and beliefs that involve risks and uncertainties. Our actual results could differ materially from those discussed in the forward-looking statements as a result of a variety of factors, including but not limited to those discussed in “Item 1A. Risk Factors” and “Forward-Looking Statements” in this Annual Report on Form 10-K.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discussion of our financial condition and results of operations for the year ended December 31, 2025 compared to the year ended December 31, 2024 is presented below. A discussion of our financial condition and results of operations for the year ended December 31, 2024 compared to the year ended December 31, 2023 is included under “Management’s Discussion and Analysis of Financial Condition and Results of Operations” within our Form 10-K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hardware subscription services and the sale of hardware tracking devices. By offering devices and integrated software to members, we have expanded our addressable market to provide members of all ages with a vertically integrated, cross-platform solution of scale. We also generate other revenue from partnerships, including through the placement of ads within our platform, and the sale of aggregated, non-personally identifiable data for data insight purposes.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we generated: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Total revenues of $489.5 million and $371.5 million, respectively, representing year-over-year growth of 32%;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Subscription revenues of $369.3 million and $277.8 million, respectively, representing year-over-year growth of 33%;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Hardware revenues of $51.8 million and $57.6 million, respectively, representing year-over-year decline of 10%;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Other revenues of $68.4 million and $36.0 million, respectively, representing year-over-year growth of 90%;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Gross profit of $380.8 million and $279.2 million, respectively, representing year-over-year growth of 36%;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Net income of $150.8 million and net loss of $4.6 million, respectively; and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Operating cash flows of $88.6 million and $32.6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we focus on growing our customers and revenue, and achieving profitability while investing for the future and managing risk, expenses and capital, the following factors and others identified in the section of this Annual Report on Form 10-K titled “Item 1A. Risk Factors” have been important to our business and we expect them to impact our operations in future periods: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Ability to Retain Trusted Brand</w:t>
      </w:r>
      <w:r>
        <w:rPr>
          <w:rFonts w:ascii="Times New Roman;serif" w:hAnsi="Times New Roman;serif"/>
          <w:b w:val="false"/>
          <w:color w:val="000000"/>
          <w:sz w:val="20"/>
        </w:rPr>
        <w:t xml:space="preserve">. We strongly believe in our vision to become the indispensable safety membership for families, with a suite of safety services that span every life stage of the family. Our business model and future success are dependent on the value and reputation of the Life360 and Tile by Life360, Inc. (“Tile”) brands. Our brand is trusted by approximately 96 million members as of December 31, 2025, and because we know the value of trust is immeasurable, we will continue to work tirelessly to provide useful, reliable, trustworthy, and innovative products and services.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Attract, Retain, and Convert Members</w:t>
      </w:r>
      <w:r>
        <w:rPr>
          <w:rFonts w:ascii="Times New Roman;serif" w:hAnsi="Times New Roman;serif"/>
          <w:b w:val="false"/>
          <w:color w:val="000000"/>
          <w:sz w:val="20"/>
        </w:rPr>
        <w:t xml:space="preserve">. Our business model is based on attracting new members to our platform, converting free members to subscribers, and retaining and expanding subscriptions over time. Our continued success depends in part on our ability to offer compelling new products and features to our members, and to continue providing a quality user experience to convert and retain paying subscribers. We will also seek to increase brand awareness and customer adoption of our platform through various programs and digital and broad-scale advertising.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Maintaining Efficient Member Acquisition</w:t>
      </w:r>
      <w:r>
        <w:rPr>
          <w:rFonts w:ascii="Times New Roman;serif" w:hAnsi="Times New Roman;serif"/>
          <w:b w:val="false"/>
          <w:color w:val="000000"/>
          <w:sz w:val="20"/>
        </w:rPr>
        <w:t xml:space="preserve">. Our investment in developing effective services and devices creates an efficient member acquisition model which drives strong unit economics. Our member acquisition model is complemented by our word-of-mouth and freemium models.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Ability to Attract New and Repeat Purchasers of Our Hardware Tracking Devices.</w:t>
      </w:r>
      <w:r>
        <w:rPr>
          <w:color w:val="000000"/>
        </w:rPr>
        <w:t xml:space="preserve"> </w:t>
      </w:r>
      <w:r>
        <w:rPr>
          <w:rFonts w:ascii="Times New Roman;serif" w:hAnsi="Times New Roman;serif"/>
          <w:b w:val="false"/>
          <w:color w:val="000000"/>
          <w:sz w:val="20"/>
        </w:rPr>
        <w:t xml:space="preserve">Attracting new and repeat purchasers depends on our ability to design and release compelling smart trackers and market them effectively. Additionally we face increasing competition from better funded global companies. We pioneered the finding category and we continue to invest in the development of hardware products, assessing new and existing technologies with a priority on providing a great member finding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pPr>
      <w:r>
        <w:rPr>
          <w:rFonts w:ascii="Times New Roman;serif" w:hAnsi="Times New Roman;serif"/>
          <w:b w:val="false"/>
          <w:i/>
          <w:color w:val="000000"/>
          <w:sz w:val="20"/>
        </w:rPr>
        <w:t>Growth in Average Revenue Per Paying Circle</w:t>
      </w:r>
      <w:r>
        <w:rPr>
          <w:rFonts w:ascii="Times New Roman;serif" w:hAnsi="Times New Roman;serif"/>
          <w:b w:val="false"/>
          <w:color w:val="000000"/>
          <w:sz w:val="20"/>
        </w:rPr>
        <w:t xml:space="preserve">. Our business model is dependent upon our ability to grow and maintain a large member base, including growing the number of Paying Circles. We have a sophisticated understanding of our members, and as a result, the services we provide are core to families and hard to switch. We continue to develop new monetization features leveraging our core technologies to offer additional services, expand into more stages of families and enter new verticals to increase adoption. Many factors will affect the Average Revenue per Paying Circle (“ARPPC”) including the number of Paying Circles, mix of monetization offerings on our platform, as well as demographic shifts and geographic differences across these variables.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Expanding the Offerings on Our Platform</w:t>
      </w:r>
      <w:r>
        <w:rPr>
          <w:rFonts w:ascii="Times New Roman;serif" w:hAnsi="Times New Roman;serif"/>
          <w:b w:val="false"/>
          <w:color w:val="000000"/>
          <w:sz w:val="20"/>
        </w:rPr>
        <w:t xml:space="preserve">. We are continually evaluating new product offerings that are aligned with our core competencies and the needs of families across the life stage continuum. For example, our acquisition of Tile gave our members the ability to seamlessly leverage Bluetooth wireless technology enabled smart trackers, which can equip nearly any item—such as wallets, keys or remotes—with location-based finding technology. In addition, the launch of our Life360 Pet GPS trackers in October 2025 enables families to seamlessly monitor the location of pets directly within the Life360 mobile application. We will continue to invest in and launch products where we see opportunities to grow our platform.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Attracting and Retaining Talent</w:t>
      </w:r>
      <w:r>
        <w:rPr>
          <w:rFonts w:ascii="Times New Roman;serif" w:hAnsi="Times New Roman;serif"/>
          <w:b w:val="false"/>
          <w:color w:val="000000"/>
          <w:sz w:val="20"/>
        </w:rPr>
        <w:t xml:space="preserve">. We compete for talent in the technology industry. Our business relies on the ability to attract and retain talent, including engineers, data scientists, designers and software developers. As of December 31, 2025, we had approximately 547 full-time employees and approximately 95 contractors. Our core values are aimed at simplifying safety for families and we believe there are people who want to work at a values-driven company like Life360. We believe that our ability to recruit talent is aided by our reputation.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Seasonality</w:t>
      </w:r>
      <w:r>
        <w:rPr>
          <w:rFonts w:ascii="Times New Roman;serif" w:hAnsi="Times New Roman;serif"/>
          <w:b w:val="false"/>
          <w:color w:val="000000"/>
          <w:sz w:val="20"/>
        </w:rPr>
        <w:t xml:space="preserve">. We experience seasonality in our member growth, engagement, Paying Circles growth, and monetization on our platform. Life360 has historically experienced member and subscription growth in the U.S. in the third quarter of each calendar year, driven by the back to school period for many of our members. Hardware sales have historically experienced comparatively higher seasonal growth in the fourth quarter of each calendar year, which includes the important selling periods in November and December largely driven by holiday demand. As the majority of revenue is generated within the U.S., our seasonality primarily relates to U.S. events.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International Expansion</w:t>
      </w:r>
      <w:r>
        <w:rPr>
          <w:rFonts w:ascii="Times New Roman;serif" w:hAnsi="Times New Roman;serif"/>
          <w:b w:val="false"/>
          <w:color w:val="000000"/>
          <w:sz w:val="20"/>
        </w:rPr>
        <w:t>. We believe our global opportunity is significant, and to address this opportunity, we intend to continue to invest in sales and marketing efforts, infrastructure, and personnel to support our international expansion. Our growth will depend in part on the adoption and sales of our products and services in international markets.</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Growth and Monetization of Advertising Offerings</w:t>
      </w:r>
      <w:r>
        <w:rPr>
          <w:rFonts w:ascii="Times New Roman;serif" w:hAnsi="Times New Roman;serif"/>
          <w:b w:val="false"/>
          <w:color w:val="000000"/>
          <w:sz w:val="20"/>
        </w:rPr>
        <w:t xml:space="preserve">. Advertising represents an additional revenue opportunity for our business, and our ability to grow and effectively monetize our advertising offerings will impact our operating results. Our success in this area will depend on our ability to successfully integrate acquired technology, operations, and personnel, scale advertiser demand, maintain advertiser relationships, and balance monetization opportunities with a positive member experience. Advertising revenue may also be affected by macroeconomic conditions, changes in advertiser spending, competition, and evolving privacy and data protection regulations.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describes certain line items in our consolidated statements of operations and comprehensive income (loss). </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generates revenue from direct and indirect streams. Direct revenue includes subscription and hardware revenue, while indirect revenue consists of all other revenue sources, such as data and partnership, which includes advertising.</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Subscription Revenue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sales of subscriptions on our platform, including Life360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 </w:t>
      </w:r>
    </w:p>
    <w:p>
      <w:pPr>
        <w:pStyle w:val="TextBody"/>
        <w:bidi w:val="0"/>
        <w:spacing w:lineRule="auto" w:line="288" w:before="360" w:after="283"/>
        <w:jc w:val="both"/>
        <w:rPr/>
      </w:pPr>
      <w:r>
        <w:rPr>
          <w:rFonts w:ascii="Times New Roman;serif" w:hAnsi="Times New Roman;serif"/>
          <w:b w:val="false"/>
          <w:i/>
          <w:color w:val="000000"/>
          <w:sz w:val="20"/>
          <w:u w:val="single"/>
        </w:rPr>
        <w:t>Hardware Revenue</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our hardware revenue from the sale of hardware tracking devices and related accessories. For hardware and accessories, revenue is recognized at the time products are delivered. We sell hardware tracking devices and accessories through a number of channels including our website, brick and mortar retail, and online retail. </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consists of data and partnership revenue, which includes advertising revenue. We generate data revenue primarily through an arrangement with a key data partner that provides location-based analytics to customers in the retail and real estate sectors, municipalities, and other private and public organizations. The agreement permits commercialization of certain aggregated and de-identified data and provides for fixed and variable monthly revenue amounts. We generate partnership revenue through agreements with third parties which grant them access to anonymized data insights or advertising on the Company’s mobile platform, and through the recognition of revenue related to a warrant to purchase common stock of a related party (“Related Party Warrant”).</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Cost of Revenue and Gross Margin </w:t>
      </w:r>
    </w:p>
    <w:p>
      <w:pPr>
        <w:pStyle w:val="TextBody"/>
        <w:bidi w:val="0"/>
        <w:spacing w:lineRule="auto" w:line="288" w:before="120" w:after="283"/>
        <w:jc w:val="both"/>
        <w:rPr/>
      </w:pPr>
      <w:r>
        <w:rPr>
          <w:rFonts w:ascii="Times New Roman;serif" w:hAnsi="Times New Roman;serif"/>
          <w:b w:val="false"/>
          <w:i/>
          <w:color w:val="000000"/>
          <w:sz w:val="20"/>
          <w:u w:val="single"/>
        </w:rPr>
        <w:t>Cost of Subscription Revenue</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continue increasing the capacity and enhancing the capability and reliability of our infrastructure to support member growth and increased use of our platform. We expect that cost of revenue will increase in absolute dollars in future periods. </w:t>
      </w:r>
    </w:p>
    <w:p>
      <w:pPr>
        <w:pStyle w:val="TextBody"/>
        <w:bidi w:val="0"/>
        <w:spacing w:lineRule="auto" w:line="288" w:before="360" w:after="283"/>
        <w:jc w:val="both"/>
        <w:rPr/>
      </w:pPr>
      <w:r>
        <w:rPr>
          <w:rFonts w:ascii="Times New Roman;serif" w:hAnsi="Times New Roman;serif"/>
          <w:b w:val="false"/>
          <w:i/>
          <w:color w:val="000000"/>
          <w:sz w:val="20"/>
          <w:u w:val="single"/>
        </w:rPr>
        <w:t>Cost of Hardware Revenue</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write-downs of excess and obsolete inventory, allocated overhead, such as facilities, including rent and utilities, and shared information technology costs. Personnel-related expenses include salaries, bonuses, benefits, and stock-based compensation for operations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pPr>
      <w:r>
        <w:rPr>
          <w:rFonts w:ascii="Times New Roman;serif" w:hAnsi="Times New Roman;serif"/>
          <w:b w:val="false"/>
          <w:i/>
          <w:color w:val="000000"/>
          <w:sz w:val="20"/>
          <w:u w:val="single"/>
        </w:rPr>
        <w:t>Cost of Other Revenue</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other revenue includes cloud-based hosting costs, software and technology costs, amortization of acquired intangibles, costs of product operations functions, and personnel-related costs associated with our data and advertising platforms. Personnel-related expenses include salaries, bonuses, benefits, and stock-based compensation for operations personnel. </w:t>
      </w:r>
    </w:p>
    <w:p>
      <w:pPr>
        <w:pStyle w:val="TextBody"/>
        <w:bidi w:val="0"/>
        <w:spacing w:lineRule="auto" w:line="288" w:before="360" w:after="283"/>
        <w:jc w:val="both"/>
        <w:rPr/>
      </w:pPr>
      <w:r>
        <w:rPr>
          <w:rFonts w:ascii="Times New Roman;serif" w:hAnsi="Times New Roman;serif"/>
          <w:b w:val="false"/>
          <w:i/>
          <w:color w:val="000000"/>
          <w:sz w:val="20"/>
          <w:u w:val="single"/>
        </w:rPr>
        <w:t>Gross Profit and Gross Profit Margin</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gross profit has been, and may in the future be, influenced by several factors, including timing of capital expenditures and related depreciation expense, increases in infrastructure costs, component costs, tariffs, contract manufacturing and supplier pricing, and foreign currency exchange rates. Gross profit and gross profit margin may fluctuate over time based on the factors described above. </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Operating Expenses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research and development, selling and marketing, and general and administrative expenses. </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Research and Development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Sales and Marketing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and marketing expenses consist primarily of commissions to the Company’s Channel Partners, personnel-related costs, brand marketing costs, lead generation costs, sales incentives, sponsorships, amortization of acquired intangibles, bad debt expense, and allocated overhead. Commission payments to Channel Partners in connection with annual subscription sales of the Company’s mobile application on third-party store platforms are considered to be incremental and recoverable costs of obtaining a contract with a customer and are expensed as incurred or deferred and amortized over an estimated period of benefit of three years depending on the subscription type.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General and Administrative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and non-income-based taxes. We expect general and administrative expenses will increase in absolute dollars as our business grows. </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Convertible Notes Fair Value Adjustment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issued convertible notes to investors in July 2021 (the “July 2021 Convertible Notes”), and as part of the purchase consideration related to the acquisition of Jiobit in September 2021 (the “September 2021 Convertible Notes” and together with the July 2021 Convertible Notes, the “Convertible Notes”). The September 2021 Convertible Notes were recorded at fair value and revalued at each reporting period prior to their conversion to common stock in April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Derivative Liability Fair Value Adjustment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 liability fair value adjustment relates to the change in the fair value of the embedded conversion and redemption features associated with the July 2021 Convertible Notes prior to their conversion to common stock in June 2024. </w:t>
      </w:r>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Settlement of Convertible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Loss on settlement of convertible notes relates to the conversion of the July 2021 Convertible Notes into common stock, which resulted in a loss recognized upon settlement.</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on Settlement of Derivative Liability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 relates to the conversion by the holders of the July 2021 Convertible Notes, which settled the embedded share-settled redemption features bifurcated from the Company’s July 2021 Convertible Notes.</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on Change in Fair Value of Investments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 Company measures certain non-marketable equity securities and warrant investments at fair value on a nonrecurring basis in accordance with ASC 321, </w:t>
      </w:r>
      <w:r>
        <w:rPr>
          <w:rFonts w:ascii="Times New Roman;serif" w:hAnsi="Times New Roman;serif"/>
          <w:b w:val="false"/>
          <w:i/>
          <w:color w:val="000000"/>
          <w:sz w:val="20"/>
        </w:rPr>
        <w:t xml:space="preserve">Investment - Equity Securities. </w:t>
      </w:r>
      <w:r>
        <w:rPr>
          <w:rFonts w:ascii="Times New Roman;serif" w:hAnsi="Times New Roman;serif"/>
          <w:b w:val="false"/>
          <w:color w:val="000000"/>
          <w:sz w:val="20"/>
        </w:rPr>
        <w:t>In April 2025, the SAFE investment in a related party (the “Related Party SAFE”) converted into shares of preferred stock (the “Related Party Investment”), as a result of an observable price change. Additionally, the Company measures and reports certain assets at fair value each reporting period. In May 2025, the Company entered into a series of transactions with Aura Consolidated Group, Inc. (“Aura”), which included a convertible note investment by the Company into Aura (“Convertible Note Investment”). The Company elected to apply the fair value option in accordance with ASC 825,</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change in fair value of investments relates to the change in fair value associated with the Convertible Note Investment and the observable price change upon the conversion of the Related Party SAFE into the Related Party Investment.</w:t>
      </w:r>
    </w:p>
    <w:p>
      <w:pPr>
        <w:pStyle w:val="TextBody"/>
        <w:bidi w:val="0"/>
        <w:spacing w:lineRule="auto" w:line="288" w:before="360" w:after="283"/>
        <w:ind w:left="0" w:right="0" w:firstLine="10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and cash equivalents balances received from bank deposits and our investments in money market funds.</w:t>
      </w:r>
    </w:p>
    <w:p>
      <w:pPr>
        <w:pStyle w:val="TextBody"/>
        <w:bidi w:val="0"/>
        <w:spacing w:lineRule="auto" w:line="288" w:before="3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Other Income (expense), net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foreign currency exchange gains/(losses) related to the remeasurement of certain assets and liabilities of our foreign subsidiaries that are denominated in currencies other than the functional currency of the subsidiary, foreign exchange transactions gains/(losses), and interest expense primarily related to convertible notes.</w:t>
      </w:r>
    </w:p>
    <w:p>
      <w:pPr>
        <w:pStyle w:val="TextBody"/>
        <w:bidi w:val="0"/>
        <w:spacing w:lineRule="auto" w:line="288" w:before="36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Provision for (Benefit from)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Provision for (benefit from) income taxes consists of U.S. federal and state income taxes and foreign income taxes in jurisdictions in which we conduct business. Deferred income taxes reflect the net tax effect of temporary differences between the carrying amount of assets and liabilities for financial reporting purposes and the amounts used for income tax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consolidated statement of operations and comprehensive income (loss) for the years ended December 31, 2025, 2024, and 2023 (in thousands, except percentages). We have derived this data from our consolidated financial statements included elsewhere in this Annual Report on Form 10-K. This information should be read in conjunction with our consolidated financial statements and related notes included elsewhere in this Annual Report on Form 10-K. The results of historical periods are not necessarily indicative of the results of operations for any future period.</w:t>
      </w:r>
    </w:p>
    <w:tbl>
      <w:tblPr>
        <w:tblW w:w="8554" w:type="dxa"/>
        <w:jc w:val="left"/>
        <w:tblInd w:w="0" w:type="dxa"/>
        <w:tblLayout w:type="fixed"/>
        <w:tblCellMar>
          <w:top w:w="28" w:type="dxa"/>
          <w:left w:w="28" w:type="dxa"/>
          <w:bottom w:w="28" w:type="dxa"/>
          <w:right w:w="28" w:type="dxa"/>
        </w:tblCellMar>
      </w:tblPr>
      <w:tblGrid>
        <w:gridCol w:w="1522"/>
        <w:gridCol w:w="1337"/>
        <w:gridCol w:w="1340"/>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 of revenue</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Operating expenses</w:t>
            </w:r>
            <w:r>
              <w:rPr>
                <w:rFonts w:ascii="Times New Roman;serif" w:hAnsi="Times New Roman;serif"/>
                <w:b/>
                <w:color w:val="000000"/>
                <w:sz w:val="13"/>
              </w:rPr>
              <w:t>(1)</w:t>
            </w:r>
            <w:r>
              <w:rPr>
                <w:rFonts w:ascii="Times New Roman;serif" w:hAnsi="Times New Roman;serif"/>
                <w:b/>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fair value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convertible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stock-based compensation expense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tbl>
      <w:tblPr>
        <w:tblW w:w="9430" w:type="dxa"/>
        <w:jc w:val="left"/>
        <w:tblInd w:w="0" w:type="dxa"/>
        <w:tblLayout w:type="fixed"/>
        <w:tblCellMar>
          <w:top w:w="28" w:type="dxa"/>
          <w:left w:w="28" w:type="dxa"/>
          <w:bottom w:w="28" w:type="dxa"/>
          <w:right w:w="28" w:type="dxa"/>
        </w:tblCellMar>
      </w:tblPr>
      <w:tblGrid>
        <w:gridCol w:w="2060"/>
        <w:gridCol w:w="1806"/>
        <w:gridCol w:w="1818"/>
        <w:gridCol w:w="211"/>
        <w:gridCol w:w="721"/>
        <w:gridCol w:w="109"/>
        <w:gridCol w:w="109"/>
        <w:gridCol w:w="109"/>
        <w:gridCol w:w="109"/>
        <w:gridCol w:w="211"/>
        <w:gridCol w:w="721"/>
        <w:gridCol w:w="109"/>
        <w:gridCol w:w="109"/>
        <w:gridCol w:w="109"/>
        <w:gridCol w:w="109"/>
        <w:gridCol w:w="233"/>
        <w:gridCol w:w="233"/>
        <w:gridCol w:w="544"/>
      </w:tblGrid>
      <w:tr>
        <w:trPr/>
        <w:tc>
          <w:tcPr>
            <w:tcW w:w="206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amounts capitalized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results of operations as a percentage of revenue: </w:t>
      </w:r>
    </w:p>
    <w:tbl>
      <w:tblPr>
        <w:tblW w:w="7109" w:type="dxa"/>
        <w:jc w:val="left"/>
        <w:tblInd w:w="0" w:type="dxa"/>
        <w:tblLayout w:type="fixed"/>
        <w:tblCellMar>
          <w:top w:w="28" w:type="dxa"/>
          <w:left w:w="28" w:type="dxa"/>
          <w:bottom w:w="28" w:type="dxa"/>
          <w:right w:w="28" w:type="dxa"/>
        </w:tblCellMar>
      </w:tblPr>
      <w:tblGrid>
        <w:gridCol w:w="1522"/>
        <w:gridCol w:w="1337"/>
        <w:gridCol w:w="1340"/>
        <w:gridCol w:w="232"/>
        <w:gridCol w:w="234"/>
        <w:gridCol w:w="271"/>
        <w:gridCol w:w="109"/>
        <w:gridCol w:w="109"/>
        <w:gridCol w:w="109"/>
        <w:gridCol w:w="232"/>
        <w:gridCol w:w="234"/>
        <w:gridCol w:w="271"/>
        <w:gridCol w:w="109"/>
        <w:gridCol w:w="109"/>
        <w:gridCol w:w="109"/>
        <w:gridCol w:w="232"/>
        <w:gridCol w:w="234"/>
        <w:gridCol w:w="316"/>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fair value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convertible notes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investments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the years ended December 31, 2025 and 2024:</w:t>
      </w:r>
    </w:p>
    <w:p>
      <w:pPr>
        <w:pStyle w:val="TextBody"/>
        <w:bidi w:val="0"/>
        <w:spacing w:lineRule="auto" w:line="288" w:before="12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Revenue </w:t>
      </w:r>
    </w:p>
    <w:tbl>
      <w:tblPr>
        <w:tblW w:w="7690"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6"/>
        <w:gridCol w:w="219"/>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revenue increased $91.4 million, or 33%, during the year ended December 31, 2025 as compared to the year ended December 31, 2024, primarily due to 26% growth in Paying Circles and 17% growth in total subscriptions. Additionally, subscription revenue in the current period benefited from a 7% uplift in ARPPC. Please refer to the “Key Performance Indicators” section for definitions of key performance indicators (“KPIs”).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revenue decreased $5.8 million, or 10%, during the year ended December 31, 2025 as compared to the year ended December 31, 2024. Although net hardware units shipped increased 7%, contributing to $6.3 million of revenue, this increase was more than offset by an $8.5 million increase in discounts and a $3.6 million reduction in revenue related to bundled offerings.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increased $32.4 million, or 90%, during the year ended December 31, 2025 as compared to the year ended December 31, 2024. This was primarily due to a $26.3 million increase in partnership revenue, which includes advertising revenue, and reflects growth in advertising activity from both existing arrangements and an increased number of partners. In addition, data revenue increased $6.1 million, primarily attributable to the Amended and Restated Data Services and License Agreement with Placer.ai entered into in July 2024, and increased data volumes resulting from user growth.</w:t>
      </w:r>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Cost of Revenue, Gross Profit, and Gross Margin </w:t>
      </w:r>
    </w:p>
    <w:tbl>
      <w:tblPr>
        <w:tblW w:w="7940" w:type="dxa"/>
        <w:jc w:val="left"/>
        <w:tblInd w:w="0" w:type="dxa"/>
        <w:tblLayout w:type="fixed"/>
        <w:tblCellMar>
          <w:top w:w="28" w:type="dxa"/>
          <w:left w:w="28" w:type="dxa"/>
          <w:bottom w:w="28" w:type="dxa"/>
          <w:right w:w="28" w:type="dxa"/>
        </w:tblCellMar>
      </w:tblPr>
      <w:tblGrid>
        <w:gridCol w:w="911"/>
        <w:gridCol w:w="802"/>
        <w:gridCol w:w="807"/>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subscription revenue increased $10.0 million, or 24%, during the year ended December 31, 2025 as compared to the year ended December 31, 2024, primarily due to increases of $4.1 million in personnel-related and stock-based compensation costs, $3.1 million in technology expenses, $2.6 million in amortization of internally developed software related to the release of new features and significant updates on our platform, all attributable to Company growth, and $0.2 million in costs associated with premium membership offerings.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gross margin increased to 86% during the year ended December 31, 2025 from 85% during the year ended December 31, 2024, primarily due to price increases for new and existing Life360 subscriptions implemented during the second half of 2024 and continuing into 2025, consistent with the increase in ARPPC. Subscription gross margin also benefited from ongoing technology efficiency initiatives implemented by the Company. Please refer to “Key Performance Indicators” for definitions of KPIs.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pPr>
      <w:r>
        <w:rPr>
          <w:rFonts w:ascii="Times New Roman;serif" w:hAnsi="Times New Roman;serif"/>
          <w:b w:val="false"/>
          <w:color w:val="000000"/>
          <w:sz w:val="20"/>
        </w:rPr>
        <w:t>Cost of hardware revenue increased by $4.0 million, or 8%, during the year ended December 31, 2025 as compared to the year ended December 31, 2024. This was driven by increases of $3.9 million in tariff costs due to increases in tariff rates and changes in product mix, and $0.5 million in product and other costs due to a 7% increase in net hardware units shipped. Additional increases include $2.5 million in personnel-related and stock-based compensation costs, attributable to Company growth. The increases were partially offset by decreases of $1.7 million in freight costs and $1.2 million</w:t>
      </w:r>
      <w:r>
        <w:rPr>
          <w:color w:val="000000"/>
        </w:rPr>
        <w:t xml:space="preserve"> </w:t>
      </w:r>
      <w:r>
        <w:rPr>
          <w:rFonts w:ascii="Times New Roman;serif" w:hAnsi="Times New Roman;serif"/>
          <w:b w:val="false"/>
          <w:color w:val="000000"/>
          <w:sz w:val="20"/>
        </w:rPr>
        <w:t>in fulfillment costs, both related to a shift in channel mix.</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gross margin decreased to 1% during the year ended December 31, 2025 from 18% during the year ended December 31, 2024, primarily due to an increase in discounts and tariff costs.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other revenue increased by $2.4 million, or 59%, during the year ended December 31, 2025 as compared to the year ended December 31, 2024, due to an increase of $2.4 million in technology and other related expenses.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gross margin increased to 91% during the year ended December 31, 2025 from 89% during the year ended December 31, 2024, primarily due to revenue outpacing the increase in costs.</w:t>
      </w:r>
    </w:p>
    <w:p>
      <w:pPr>
        <w:pStyle w:val="TextBody"/>
        <w:bidi w:val="0"/>
        <w:spacing w:lineRule="auto" w:line="288" w:before="360" w:after="283"/>
        <w:ind w:left="0" w:right="0" w:firstLine="450"/>
        <w:jc w:val="left"/>
        <w:rPr/>
      </w:pPr>
      <w:r>
        <w:rPr>
          <w:rFonts w:ascii="Times New Roman;serif" w:hAnsi="Times New Roman;serif"/>
          <w:b w:val="false"/>
          <w:i/>
          <w:color w:val="000000"/>
          <w:sz w:val="20"/>
          <w:u w:val="single"/>
        </w:rPr>
        <w:t>Research and Development</w:t>
      </w:r>
      <w:r>
        <w:rPr>
          <w:color w:val="000000"/>
        </w:rPr>
        <w:t xml:space="preserve"> </w:t>
      </w:r>
    </w:p>
    <w:tbl>
      <w:tblPr>
        <w:tblW w:w="7511"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rPr>
        <w:t>Research and development expenses increased $15.3 million, or 14%, during the year ended December 31, 2025 as compared to the year ended December 31, 2024. This was primarily due to increases of $13.2 million in personnel-related and stock-based compensation costs, $4.1 million in technology and other expenses, and $0.9 million</w:t>
      </w:r>
      <w:r>
        <w:rPr>
          <w:color w:val="000000"/>
        </w:rPr>
        <w:t xml:space="preserve"> </w:t>
      </w:r>
      <w:r>
        <w:rPr>
          <w:rFonts w:ascii="Times New Roman;serif" w:hAnsi="Times New Roman;serif"/>
          <w:b w:val="false"/>
          <w:color w:val="000000"/>
          <w:sz w:val="20"/>
        </w:rPr>
        <w:t>in professional and outside services, all attributable to Company growth. The increases were partially offset by higher capitalized costs of $2.2 million for internally developed software related to the development of new features and significant updates to our platform, and higher capitalized construction in progress costs of $0.7 million, in line with our product development roadmap.</w:t>
      </w:r>
    </w:p>
    <w:p>
      <w:pPr>
        <w:pStyle w:val="TextBody"/>
        <w:bidi w:val="0"/>
        <w:spacing w:lineRule="auto" w:line="288" w:before="360" w:after="283"/>
        <w:ind w:left="0" w:right="0" w:firstLine="450"/>
        <w:jc w:val="left"/>
        <w:rPr/>
      </w:pPr>
      <w:r>
        <w:rPr>
          <w:rFonts w:ascii="Times New Roman;serif" w:hAnsi="Times New Roman;serif"/>
          <w:b w:val="false"/>
          <w:i/>
          <w:color w:val="000000"/>
          <w:sz w:val="20"/>
          <w:u w:val="single"/>
        </w:rPr>
        <w:t>Sales and Marketing</w:t>
      </w:r>
      <w:r>
        <w:rPr>
          <w:color w:val="000000"/>
        </w:rPr>
        <w:t xml:space="preserve"> </w:t>
      </w:r>
    </w:p>
    <w:tbl>
      <w:tblPr>
        <w:tblW w:w="7511"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$41.6 million, or 37%, during the year ended December 31, 2025 as compared to the year ended December 31, 2024. This was primarily due to increases of $16.8 million in commissions to the Company’s Channel Partners, in line with the increase in subscription revenue, and $14.4 million in growth media spend to support strategic initiatives. Additional increases include $7.9 million in personnel-related and stock-based compensation costs, $1.3 million in marketing and other spend related to production and public relations, and $1.2 million in technology expenses, all attributable to Company growth.</w:t>
      </w:r>
    </w:p>
    <w:p>
      <w:pPr>
        <w:pStyle w:val="TextBody"/>
        <w:bidi w:val="0"/>
        <w:spacing w:lineRule="auto" w:line="288" w:before="360" w:after="283"/>
        <w:ind w:left="0" w:right="0" w:firstLine="450"/>
        <w:jc w:val="left"/>
        <w:rPr/>
      </w:pPr>
      <w:r>
        <w:rPr>
          <w:rFonts w:ascii="Times New Roman;serif" w:hAnsi="Times New Roman;serif"/>
          <w:b w:val="false"/>
          <w:i/>
          <w:color w:val="000000"/>
          <w:sz w:val="20"/>
          <w:u w:val="single"/>
        </w:rPr>
        <w:t>General and Administrative</w:t>
      </w:r>
      <w:r>
        <w:rPr>
          <w:color w:val="000000"/>
        </w:rPr>
        <w:t xml:space="preserve"> </w:t>
      </w:r>
    </w:p>
    <w:tbl>
      <w:tblPr>
        <w:tblW w:w="7301"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$17.9 million, or 30%, during the year ended December 31, 2025 as compared to the year ended December 31, 2024. This was primarily due to increases of $12.2 million in personnel-related and stock-based compensation costs, $1.0 million in technology expenses, and $0.7 million in insurance and other costs, all attributable to Company growth. Additional increases include $2.0 million in professional and outside services spend, primarily driven by transaction costs incurred related to acquisitions, $1.3 million for travel and entertainment costs primarily related to the Company’s annual event, and $0.7 million in warehouse relocation costs related to the move of certain hardware manufacturing operations. </w:t>
      </w:r>
    </w:p>
    <w:p>
      <w:pPr>
        <w:pStyle w:val="TextBody"/>
        <w:bidi w:val="0"/>
        <w:spacing w:lineRule="auto" w:line="288" w:before="360" w:after="283"/>
        <w:ind w:left="0" w:right="0" w:firstLine="450"/>
        <w:jc w:val="both"/>
        <w:rPr/>
      </w:pPr>
      <w:r>
        <w:rPr>
          <w:rFonts w:ascii="Times New Roman;serif" w:hAnsi="Times New Roman;serif"/>
          <w:b w:val="false"/>
          <w:i/>
          <w:color w:val="000000"/>
          <w:sz w:val="20"/>
          <w:u w:val="single"/>
        </w:rPr>
        <w:t>Convertible Notes Fair Value Adjustment</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and June 2024, the September 2021 Convertible Notes and the July 2021 Convertible Notes, respectively, were converted to common stock. As a result, the Company recorded no gain or loss associated with the Convertible Notes fair value adjustment for the year ended December 31, 2025. The Company recorded a $0.6 million loss associated with the Convertible Notes fair value adjustment for the year ended December 31, 2024.</w:t>
      </w:r>
    </w:p>
    <w:p>
      <w:pPr>
        <w:pStyle w:val="TextBody"/>
        <w:bidi w:val="0"/>
        <w:spacing w:lineRule="auto" w:line="288" w:before="360" w:after="283"/>
        <w:ind w:left="0" w:right="0" w:firstLine="450"/>
        <w:jc w:val="both"/>
        <w:rPr/>
      </w:pPr>
      <w:r>
        <w:rPr>
          <w:rFonts w:ascii="Times New Roman;serif" w:hAnsi="Times New Roman;serif"/>
          <w:b w:val="false"/>
          <w:i/>
          <w:color w:val="000000"/>
          <w:sz w:val="20"/>
          <w:u w:val="single"/>
        </w:rPr>
        <w:t>Derivative Liability Fair Value Adjustment</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2024, the holders of the July 2021 Convertible Notes converted their notes and accrued interest to common stock and the embedded derivative liability was settled as a result of the conversion. As a result, the Company recorded no gain or loss and a $1.7 million loss associated with the derivative liability fair value adjustment for the years ended December 31, 2025 and 2024, respectively.</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Settlement of Convertible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and June 2024, the September 2021 Convertible Notes and the July 2021 Convertible Notes, respectively, were converted to common stock. As a result, the Company recorded no gain or loss related to the settlement of the September 2021 Convertible Notes and July 2021 Convertible Notes for the year ended December 31, 2025. The Company recorded a $0.4 million loss associated with the settlement of the July 2021 Convertible Notes and the September 2021 Convertible Notes for the year ended December 31, 2024.</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on Settlement of Derivative Liability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2024, the holders of the July 2021 Convertible Notes converted their notes and accrued interest to common stock and the derivative liability was settled as a result of the conversion. As a result, the Company recorded no gain or loss related to the settlement of the derivative liability for the year ended December 31, 2025. The Company recorded a $1.9 million gain related to the settlement of the derivative liability upon conversion of the July 2021 Convertible Notes for the year ended December 31, 2024.</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on Change in Fair Value of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2025, an observable price change related to the conversion of the Related Party SAFE into the Related Party Investment took place. As a result, a $0.9 million gain related to the observable price change was recognized during the year ended December 31, 2025.</w:t>
      </w:r>
    </w:p>
    <w:p>
      <w:pPr>
        <w:pStyle w:val="TextBody"/>
        <w:bidi w:val="0"/>
        <w:spacing w:lineRule="auto" w:line="288" w:before="240" w:after="283"/>
        <w:ind w:left="0" w:right="0" w:firstLine="450"/>
        <w:jc w:val="both"/>
        <w:rPr/>
      </w:pPr>
      <w:r>
        <w:rPr>
          <w:rFonts w:ascii="Times New Roman;serif" w:hAnsi="Times New Roman;serif"/>
          <w:b w:val="false"/>
          <w:color w:val="000000"/>
          <w:sz w:val="20"/>
        </w:rPr>
        <w:t>In addition, in May 2025, the Company entered into a series of transactions with Aura, which included a $25.0 million convertible note investment by the Company into Aura. The Company elected to apply the fair value option in accordance with ASC 825,</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As a result, a $0.3 million loss related to the revaluation of the Convertible Note Investment was recognized during the year ended December 31, 2025.</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2024, an observable price change related to our investment in a warrant held to purchase shares of preferred stock of a data revenue partner took place. The observable price change resulted in a fair value adjustment and gain of $5.4 million recorded for the year ended December 31, 2024.</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$7.7 million, or 128%, during the year ended December 31, 2025 as compared to the year ended December 31, 2024, resulting from higher average gross yields attributable to an increased cash and cash equivalents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Other Income (Expense), Net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includes U.S. IPO transaction costs, foreign exchange gains and losses, and interest expense associated with the July 2021 Convertible Notes and the convertible notes issued to investors in June 2025 (the “June 2025 Convertible Notes”).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increased $6.7 million, or 93%, during the year ended December 31, 2025 as compared to the year ended December 31, 2024. This was primarily driven by a $5.6 million decrease in transaction costs incurred in the prior period in connection with our U.S. IPO, a $1.9 million increase in foreign exchange gains, and a $0.3 million decrease in other costs. This was partially offset by a $1.1 million increase in interest expense related to the June 2025 Convertible Notes. </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Provision for (Benefit from)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an income tax benefit of $118.2 million during the year ended December 31, 2025, compared to an income tax benefit of $0.1 million during the year ended December 31, 2024.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income tax benefit consisted primarily of a $118.4 million benefit related to the release of a valuation allowance on our U.S. deferred tax assets during the year ended December 31, 2025. We regularly assess the need for a valuation allowance on our deferred tax assets. In making this assessment, we consider both positive and negative evidence related to the likelihood of realization of the deferred tax assets to determine, based on the weight of available evidence, whether it is more likely than not that some or all the deferred tax assets will not be realized. As of December 31, 2025, based on all available positive and negative evidence, having demonstrated sustained U.S. profitability, which is objective and verifiable, and taking into account anticipated future earnings, we have concluded it is more likely than not that we will realize our U.S. federal and states deferred tax assets, with the exception of California state and Canadian tax credits. We continue to maintain a valuation allowance against these deferred tax assets as they have not met the “more likely than not” realization criterion.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review several operating metrics, including the following KPIs, to evaluate our business, measure our performance, identify trends affecting our business, develop financial forecasts, and make strategic decisions. We believe these KPIs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Key Operating Metrics </w:t>
      </w:r>
    </w:p>
    <w:tbl>
      <w:tblPr>
        <w:tblW w:w="6840" w:type="dxa"/>
        <w:jc w:val="left"/>
        <w:tblInd w:w="0" w:type="dxa"/>
        <w:tblLayout w:type="fixed"/>
        <w:tblCellMar>
          <w:top w:w="28" w:type="dxa"/>
          <w:left w:w="28" w:type="dxa"/>
          <w:bottom w:w="28" w:type="dxa"/>
          <w:right w:w="28" w:type="dxa"/>
        </w:tblCellMar>
      </w:tblPr>
      <w:tblGrid>
        <w:gridCol w:w="841"/>
        <w:gridCol w:w="736"/>
        <w:gridCol w:w="747"/>
        <w:gridCol w:w="281"/>
        <w:gridCol w:w="961"/>
        <w:gridCol w:w="145"/>
        <w:gridCol w:w="145"/>
        <w:gridCol w:w="145"/>
        <w:gridCol w:w="145"/>
        <w:gridCol w:w="281"/>
        <w:gridCol w:w="961"/>
        <w:gridCol w:w="145"/>
        <w:gridCol w:w="109"/>
        <w:gridCol w:w="109"/>
        <w:gridCol w:w="109"/>
        <w:gridCol w:w="218"/>
        <w:gridCol w:w="218"/>
        <w:gridCol w:w="544"/>
      </w:tblGrid>
      <w:tr>
        <w:trPr/>
        <w:tc>
          <w:tcPr>
            <w:tcW w:w="84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and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ARPPC, ARPPS and ASP)</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AMR</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MAU</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Circles</w:t>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ARPPC</w:t>
            </w:r>
            <w:r>
              <w:rPr>
                <w:rFonts w:ascii="Times New Roman;serif" w:hAnsi="Times New Roman;serif"/>
                <w:b w:val="false"/>
                <w:color w:val="000000"/>
                <w:sz w:val="13"/>
              </w:rPr>
              <w:t>1</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ARPPS</w:t>
            </w:r>
            <w:r>
              <w:rPr>
                <w:rFonts w:ascii="Times New Roman;serif" w:hAnsi="Times New Roman;serif"/>
                <w:b w:val="false"/>
                <w:color w:val="000000"/>
                <w:sz w:val="13"/>
              </w:rPr>
              <w:t>1</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hardware units shipped</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ASP</w:t>
            </w:r>
            <w:r>
              <w:rPr>
                <w:rFonts w:ascii="Times New Roman;serif" w:hAnsi="Times New Roman;serif"/>
                <w:b w:val="false"/>
                <w:color w:val="000000"/>
                <w:sz w:val="13"/>
              </w:rPr>
              <w:t>2</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Excludes revenue related to bundled Life360 subscription and hardware offerings of $(0.8) million for the year ended December 31, 2025, and $(4.6) million for the year ended December 31, 2024.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Excludes revenue related to bundled Life360 subscription and hardware offerings of $0.7 million for the year ended December 31, 2025, and $4.3 million for the year ended December 31, 2024.</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Annualized Monthly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December 31, 2025, and 2024 was $478.0 million and $367.6 million, respectively, representing an increase of 30% year-over-year, which is largely attributable to continued subscriber growth as well as an increase in other recurring revenue. </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Monthly Active Users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have a large and growing global member base as of December 31, 2025. A Life360 monthly active user (“MAU”) is defined as a unique member who engages with our Life360 branded services each month, which includes both paying and non-paying members, and excludes certain members who have a delayed account setup. As of December 31, 2025 and 2024, we had approximately 95.8 million and 79.6 million</w:t>
      </w:r>
      <w:r>
        <w:rPr>
          <w:color w:val="000000"/>
        </w:rPr>
        <w:t xml:space="preserve"> </w:t>
      </w:r>
      <w:r>
        <w:rPr>
          <w:rFonts w:ascii="Times New Roman;serif" w:hAnsi="Times New Roman;serif"/>
          <w:b w:val="false"/>
          <w:color w:val="000000"/>
          <w:sz w:val="20"/>
        </w:rPr>
        <w:t xml:space="preserve">MAU on the Life360 platform, respectively, representing an increase of 20% year-over-year. We believe this has been driven by continued strong new member growth and retention. </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Paying Circles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 Paying Circle as a group of Life360 members with a paying subscription who have been billed as of the end of period. Each subscription covers all members in the payor’s Circle so everyone in the Circle can utilize the benefits of a Life360 membership, including access to premium location, driving, digital and emergency safety insights and services.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As of December 31, 2025 and 2024, we had approximately 2.8 million</w:t>
      </w:r>
      <w:r>
        <w:rPr>
          <w:color w:val="000000"/>
        </w:rPr>
        <w:t xml:space="preserve"> </w:t>
      </w:r>
      <w:r>
        <w:rPr>
          <w:rFonts w:ascii="Times New Roman;serif" w:hAnsi="Times New Roman;serif"/>
          <w:b w:val="false"/>
          <w:color w:val="000000"/>
          <w:sz w:val="20"/>
        </w:rPr>
        <w:t xml:space="preserve">and 2.3 million paid subscribers to services under our Life360 brand, respectively, representing an increase of 26% year-over-year. We grow the number of Paying Circles by increasing our free member base, converting free members to subscribers, and retaining them over time with the provision of high-quality family connectivity and safety services. </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Average Revenue per Paying Circle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ARPPC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our ARPPC was $136.63 and $128.00, respectively, representing a 7% increase year-over-year.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ARPPC is a key indicator utilized by the Company to determine our effectiveness at monetizing Paying Circles through tiered product offerings. The year-over-year growth in ARPPC primarily reflects U.S. price increases for new and existing annual subscribers implemented in the second half of 2024 and continuing into 2025, a shift in product mix toward higher-priced offerings, and the introduction of higher-priced membership tiers across select international markets throughout 2024 and 2025.</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Subscriptions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subscriptions as the number of paying subscribers associated with the Life360 and Tile brands who have been billed as of the end of the period.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had approximately 3.4 million and 2.9 million paid subscribers to services under Life360 and Tile brands, respectively, representing an increase of 17% year-over-year.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grow the number of subscriptions by selling hardware units and increasing our free member base, converting free members to subscribers, and retaining them over time with the provision of location tracking and high-quality family and safety services.</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ARPPS as annualized total subscription revenue recognized and derived from Life360 and Tile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ARPPS for the years ended December 31, 2025 and 2024 was $118.17 and $106.16, respectively, representing an increase of 11%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ARPPS has increased year-over-year as a result of U.S. price increases for new and existing annual subscribers implemented in the second half of 2024 and continuing into 2025, a shift in product mix towards higher-priced offerings, and the introduction of higher-priced membership tiers across select international markets throughout 2024 and 2025.</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Hardware Units Shipped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subscription.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Life360 sold approximately 4.2 million and 3.9 million, respectively, representing a 7% increase year-over-year. The increase in net hardware units shipped was primarily due to an increase in online retail sales.</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Average Sales Price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net ASP of a unit was $12.25 and $13.72, respectively, representing an 11% decrease year-over-year. The decrease in net ASP was primarily due to a shift in channel mix and an increase in discounts.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cash and cash equivalents of $494.3 million and restricted cash of $1.6 million. As of December 31, 2024, we had cash and cash equivalents of $159.2 million and restricted cash of $1.2 million. The increase in cash and cash equivalents was primarily related to the issuance of the June 2025 Convertible Notes and positive net cash provided by operating activities for the year ended December 31, 2025.</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together with cash generated from subscriptions, hardware tracking devices, partnerships, including through the placement of ads within our platform, and the sale of aggregated, non-personally identifiable data for data insight purposes will be sufficient to support working capital and capital expenditure requirements for at least the next 12 months. We may from time to time seek to raise additional capital based on a variety of factors, including our capital requirements and the relative favorability of conditions in the capital markets.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flow activities were as follows for the periods presented (in thousands):</w:t>
      </w:r>
    </w:p>
    <w:tbl>
      <w:tblPr>
        <w:tblW w:w="9882" w:type="dxa"/>
        <w:jc w:val="left"/>
        <w:tblInd w:w="0" w:type="dxa"/>
        <w:tblLayout w:type="fixed"/>
        <w:tblCellMar>
          <w:top w:w="28" w:type="dxa"/>
          <w:left w:w="28" w:type="dxa"/>
          <w:bottom w:w="28" w:type="dxa"/>
          <w:right w:w="28" w:type="dxa"/>
        </w:tblCellMar>
      </w:tblPr>
      <w:tblGrid>
        <w:gridCol w:w="2128"/>
        <w:gridCol w:w="1874"/>
        <w:gridCol w:w="1878"/>
        <w:gridCol w:w="211"/>
        <w:gridCol w:w="826"/>
        <w:gridCol w:w="109"/>
        <w:gridCol w:w="109"/>
        <w:gridCol w:w="109"/>
        <w:gridCol w:w="109"/>
        <w:gridCol w:w="211"/>
        <w:gridCol w:w="721"/>
        <w:gridCol w:w="109"/>
        <w:gridCol w:w="109"/>
        <w:gridCol w:w="109"/>
        <w:gridCol w:w="109"/>
        <w:gridCol w:w="211"/>
        <w:gridCol w:w="796"/>
        <w:gridCol w:w="154"/>
      </w:tblGrid>
      <w:tr>
        <w:trPr/>
        <w:tc>
          <w:tcPr>
            <w:tcW w:w="21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856" w:type="dxa"/>
            <w:gridSpan w:val="12"/>
            <w:tcBorders/>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operating cash are cash collections from our paying members for subscriptions to our platform, hardware tracking device sales, partnership revenue, which includes advertising, and revenue generated from the sale of aggregated, non-personally identifiable data for data insight purposes. Our primary uses of cash from operating activities are for employee-related expenditures, costs to acquire inventory, infrastructure-related costs, commissions paid to Channel Partners, and other marketing expenses.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December 31, 2025 and 2024, we had deferred revenue of $50.7 million and $45.2 million, respectively, of which $46.4 million and $39.9 million is expected to be recorded as revenue in the next 12 months, respectively, provided all other revenue recognition criteria have been met.</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For the year ended December 31, 2025, net cash provided by operating activities was $88.6 million. The primary factors affecting our operating cash flows during this period were our net income of $150.8 million, impacted by $47.6 million of non-cash adjustments, and $14.6 million of cash used by changes in our operating assets and liabilities. The non-cash adjustments primarily consisted of stock-based compensation expense, and depreciation and amortization. The </w:t>
      </w:r>
      <w:r>
        <w:rPr>
          <w:rFonts w:ascii="Times New Roman;serif" w:hAnsi="Times New Roman;serif"/>
          <w:b w:val="false"/>
          <w:color w:val="000000"/>
          <w:sz w:val="20"/>
          <w:shd w:fill="FFFFFF" w:val="clear"/>
        </w:rPr>
        <w:t>cash used by changes in our operating assets and liabilities was primarily due to increases in accounts receivable and prepaid expenses and other current assets. These cash outflows were offset by increases in accounts payable, inventory, and accrued expenses and other current liabilities.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provided by operating activities was $32.6 million. The primary factors affecting our operating cash flows were our net loss of $4.6 million, impacted by $48.4 million of non-cash adjustments, and $11.2 million of cash used by changes in our operating assets and liabilities. The non-cash adjustments primarily consisted of stock-based compensation expense, depreciation and amortization, and gain on the change in fair value of investment. The cash used by changes in our operating assets and liabilities was primarily due to an increase in accounts receivable, net, an increase in costs capitalized to obtain contracts with customers, and an increase in inventory. These amounts were partially offset by an increase in deferred revenue, and an increase in accrued expenses and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For the year ended December 31, 2025, net cash used in investing activities was $35.3 million, which primarily related to the $25.0 million Convertible Note Investment. Net cash used in investing activities also included capitalization of internally developed software costs in accordance with ASC 350-40,</w:t>
      </w:r>
      <w:r>
        <w:rPr>
          <w:color w:val="000000"/>
        </w:rPr>
        <w:t xml:space="preserve"> </w:t>
      </w:r>
      <w:r>
        <w:rPr>
          <w:rFonts w:ascii="Times New Roman;serif" w:hAnsi="Times New Roman;serif"/>
          <w:b w:val="false"/>
          <w:i/>
          <w:color w:val="000000"/>
          <w:sz w:val="20"/>
        </w:rPr>
        <w:t>Intangibles - Goodwill and Other, Internal-Use Software</w:t>
      </w:r>
      <w:r>
        <w:rPr>
          <w:rFonts w:ascii="Times New Roman;serif" w:hAnsi="Times New Roman;serif"/>
          <w:b w:val="false"/>
          <w:color w:val="000000"/>
          <w:sz w:val="20"/>
        </w:rPr>
        <w:t xml:space="preserve">, and cash paid for an acquisition. Refer to Note 6, "Business Combinations" for additional information on the acquisition.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For the year ended December 31, 2024, net cash used in investing activities was $10.1 million, which primarily related to the Related Party SAFE of $5.0 million, the capitalization of internally developed software costs of $3.9 million in accordance with ASC 350-40, </w:t>
      </w:r>
      <w:r>
        <w:rPr>
          <w:rFonts w:ascii="Times New Roman;serif" w:hAnsi="Times New Roman;serif"/>
          <w:b w:val="false"/>
          <w:i/>
          <w:color w:val="000000"/>
          <w:sz w:val="20"/>
        </w:rPr>
        <w:t>Intangibles - Goodwill and Other, Internal-Use Software</w:t>
      </w:r>
      <w:r>
        <w:rPr>
          <w:rFonts w:ascii="Times New Roman;serif" w:hAnsi="Times New Roman;serif"/>
          <w:b w:val="false"/>
          <w:color w:val="000000"/>
          <w:sz w:val="20"/>
        </w:rPr>
        <w:t>, and purchases of property and equipment of $1.2 million.</w:t>
      </w:r>
    </w:p>
    <w:p>
      <w:pPr>
        <w:pStyle w:val="TextBody"/>
        <w:bidi w:val="0"/>
        <w:spacing w:lineRule="auto" w:line="288" w:before="2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For the year ended December 31, 2025, net cash provided by financing activities was $282.1 million, which primarily related to net proceeds of $320.0 million from the issuance of the June 2025 Convertible Notes offset by payments of $10.9 million for debt issuance costs. In connection with the issuance of the June 2025 Convertible Notes, the Company paid $33.7 million in capped call transactions. </w:t>
      </w:r>
      <w:r>
        <w:rPr>
          <w:rFonts w:ascii="Times New Roman;serif" w:hAnsi="Times New Roman;serif"/>
          <w:b w:val="false"/>
          <w:color w:val="000000"/>
          <w:sz w:val="20"/>
          <w:shd w:fill="FFFFFF" w:val="clear"/>
        </w:rPr>
        <w:t>Refer to</w:t>
      </w:r>
      <w:r>
        <w:rPr>
          <w:color w:val="000000"/>
        </w:rPr>
        <w:t xml:space="preserve"> </w:t>
      </w:r>
      <w:r>
        <w:rPr>
          <w:rFonts w:ascii="Times New Roman;serif" w:hAnsi="Times New Roman;serif"/>
          <w:b w:val="false"/>
          <w:color w:val="000000"/>
          <w:sz w:val="20"/>
        </w:rPr>
        <w:t>Note 8, "Convertible Notes"</w:t>
      </w:r>
      <w:r>
        <w:rPr>
          <w:color w:val="000000"/>
          <w:shd w:fill="FFFFFF" w:val="clear"/>
        </w:rPr>
        <w:t xml:space="preserve"> </w:t>
      </w:r>
      <w:r>
        <w:rPr>
          <w:rFonts w:ascii="Times New Roman;serif" w:hAnsi="Times New Roman;serif"/>
          <w:b w:val="false"/>
          <w:color w:val="000000"/>
          <w:sz w:val="20"/>
          <w:shd w:fill="FFFFFF" w:val="clear"/>
        </w:rPr>
        <w:t xml:space="preserve">for more information on the June 2025 Convertible Notes and the June 2025 Capped Calls. </w:t>
      </w:r>
      <w:r>
        <w:rPr>
          <w:rFonts w:ascii="Times New Roman;serif" w:hAnsi="Times New Roman;serif"/>
          <w:b w:val="false"/>
          <w:color w:val="000000"/>
          <w:sz w:val="20"/>
        </w:rPr>
        <w:t xml:space="preserve">Financing activities also included $62.8 million of employee taxes paid for the net settlement of equity awards, offset by $69.5 million of proceeds related to employee tax withholdings on restricted stock settlements and the exercise of stock options and warrants.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provided by financing activities was $67.3 million. This was primarily related to net proceeds of $93.0 million after deducting underwriting discounts and commissions from our U.S. IPO, which closed on June 6, 2024 and involved the sale of 3,703,704 shares of common stock. Additionally, financing activities also included $14.6 million of proceeds from the exercise of options and warrants and restricted stock settlements, offset by $34.0 million of taxes paid for the net settlement of equity awards, and $6.3 million in payments related to the U.S.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Obligations and Other Commitments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consist of obligations under our operating leases for office space, and other purchase commitments. Information regarding our non-cancellable lease and other purchase commitments as of December 31, 2025, can be found in Note 7, "Balance Sheet Components" and Note 10, "Commitments and Contingencies"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Significant Management Estimates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of our significant accounting policies, which are described in Note 2, "Summary of Significant Accounting Policies" to our consolidated financial statements, the following accounting policies, and specific estimates involve a greater degree of judgment and complexity.</w:t>
      </w:r>
    </w:p>
    <w:p>
      <w:pPr>
        <w:pStyle w:val="TextBody"/>
        <w:bidi w:val="0"/>
        <w:spacing w:lineRule="auto" w:line="288" w:before="360" w:after="283"/>
        <w:jc w:val="left"/>
        <w:rPr>
          <w:rFonts w:ascii="Times New Roman;serif" w:hAnsi="Times New Roman;serif"/>
          <w:b/>
          <w:i/>
          <w:color w:val="231F20"/>
          <w:sz w:val="20"/>
        </w:rPr>
      </w:pPr>
      <w:r>
        <w:rPr>
          <w:rFonts w:ascii="Times New Roman;serif" w:hAnsi="Times New Roman;serif"/>
          <w:b/>
          <w:i/>
          <w:color w:val="231F20"/>
          <w:sz w:val="20"/>
        </w:rPr>
        <w:t>Revenue Recognition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derive revenue from subscription fees, the sale of hardware tracking devices and accessories, and other revenue. We sell subscriptions to our platform through arrangements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most of our sales arrangements contain standard terms and conditions, certain arrangements contain non-standard terms and conditions and include promises to transfer multiple goods or services. As a result, significant interpretation and judgment are sometimes required to determine the appropriate accounting for these transactions, including: (1) whether related performance obligations are considered distinct and should be accounted for separately versus together, (2) how the price should be allocated among separate performance obligations, and when to recognize revenue for each performance obligation; (3) developing an estimate of the stand-alone selling price (“SSP”), of each distinct performance obligation; and (4) estimating and accounting for variable consideration, which may include sales incentives and investment.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contracts with customers contain multiple performance obligations, primarily hardware and subscription services for hardware tracking devices. For arrangements with multiple performance obligations where the contracted price differs from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performance obligation. For business-to-business hardware sales, we will estimate the expected consideration amount after credits and discounts.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our customers with incentives through various programs including promotional agreements and marketing development agreements. Sales incentives are considered variable consideration, which we estimate and record as a reduction to revenue. Incentives are influenced by historical experience, projected sales data, and contractual terms.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change in judgments with respect to these assumptions and estimates could impact the timing or amount of revenue recognition.</w:t>
      </w:r>
    </w:p>
    <w:p>
      <w:pPr>
        <w:pStyle w:val="TextBody"/>
        <w:bidi w:val="0"/>
        <w:spacing w:lineRule="auto" w:line="288" w:before="360" w:after="283"/>
        <w:jc w:val="left"/>
        <w:rPr>
          <w:rFonts w:ascii="Times New Roman;serif" w:hAnsi="Times New Roman;serif"/>
          <w:b/>
          <w:i/>
          <w:color w:val="231F20"/>
          <w:sz w:val="20"/>
        </w:rPr>
      </w:pPr>
      <w:r>
        <w:rPr>
          <w:rFonts w:ascii="Times New Roman;serif" w:hAnsi="Times New Roman;serif"/>
          <w:b/>
          <w:i/>
          <w:color w:val="231F2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required to exercise judgment in determining our provision for income taxes. The provision for income taxes is determined by taking into account guidance related to uncertain tax positions. Judgment is required in assessing the timing and amounts of deductible and taxable items.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tax assets are amounts available to reduce income taxes payable on taxable income in future years and are initially recognized at enacted tax rates. We regularly assess the need for a valuation allowance against our deferred tax assets. In making that assessment, we consider both positive and negative evidence related to the likelihood of realization of the deferred tax assets as well as the nature of the deferred tax attribute to determine, based on the weight of available evidence, whether it is more likely than not that some or all of the deferred tax assets will not be realized. For the year ended December 31, 2025, the valuation allowance was released on U.S. and state deferred tax assets, with the exception of California state and Canadian tax credits, due to positive evidence that the assets are more likely than not to be realized in future years. The Company will continue to assess all available evidence during future periods to evaluate any changes to the realization of its deferred tax assets. All of the factors that the Company considers in evaluating whether and when to establish or release all or a portion of the deferred tax asset valuation allowance involve significant judgment.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believe that we have adequately reserved for our uncertain tax positions, we can provide no assurance that the final tax outcome of these matters will not be materially different. We make adjustments to these reserves when facts and circumstances change, such as the closing of a tax audit or the refinement of an estimate. To the extent that the final tax outcome of these matters is different than the amounts recorded, such differences may affect the provision for income taxes in the period in which such determination is made and could have a material impact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See Note 2, "Summary of Significant Accounting Policies" to our consolidated financial statements included in Item 8 of Part II hereof for a discussion of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Rate Risk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we had $494.3 million and $159.2 million, respectively, of cash and cash equivalents invested in money market funds. Our cash and cash equivalents are held for working capital purposes. As of December 31, 2025 and December 31, 2024, a hypothetical 10% relative change in interest rates would not have a material impact on our consolidated financial statements.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Foreign Currency Exchange Risk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U.S. Our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Inflation Risk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Item 8. Financial Statements and Supplementary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15"/>
        <w:gridCol w:w="3081"/>
        <w:gridCol w:w="3097"/>
        <w:gridCol w:w="149"/>
        <w:gridCol w:w="149"/>
        <w:gridCol w:w="214"/>
      </w:tblGrid>
      <w:tr>
        <w:trPr/>
        <w:tc>
          <w:tcPr>
            <w:tcW w:w="3515"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Index to Consolidated Financial Statements</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45">
              <w:r>
                <w:rPr>
                  <w:rStyle w:val="InternetLink"/>
                  <w:rFonts w:ascii="Times New Roman;serif" w:hAnsi="Times New Roman;serif"/>
                  <w:b w:val="false"/>
                  <w:color w:val="0000FF"/>
                  <w:sz w:val="20"/>
                  <w:u w:val="single"/>
                </w:rPr>
                <w:t>Report of Independent Registered Public Accounting Firms</w:t>
              </w:r>
            </w:hyperlink>
            <w:r>
              <w:rPr>
                <w:color w:val="000000"/>
              </w:rPr>
              <w:t xml:space="preserve"> </w:t>
            </w:r>
            <w:r>
              <w:rPr>
                <w:rFonts w:ascii="Times New Roman;serif" w:hAnsi="Times New Roman;serif"/>
                <w:b w:val="false"/>
                <w:color w:val="000000"/>
                <w:sz w:val="20"/>
              </w:rPr>
              <w:t xml:space="preserve">(Deloitte and Touche LLP; San Francisco, CA; PCAOB ID #34) </w:t>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374b3e7dff54d6f8160656e32d66b0e_145">
              <w:r>
                <w:rPr>
                  <w:rStyle w:val="InternetLink"/>
                  <w:rFonts w:ascii="Times New Roman;serif" w:hAnsi="Times New Roman;serif"/>
                  <w:b w:val="false"/>
                  <w:strike w:val="false"/>
                  <w:dstrike w:val="false"/>
                  <w:color w:val="000000"/>
                  <w:sz w:val="20"/>
                  <w:u w:val="none"/>
                  <w:effect w:val="none"/>
                </w:rPr>
                <w:t>66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48">
              <w:r>
                <w:rPr>
                  <w:rStyle w:val="InternetLink"/>
                  <w:rFonts w:ascii="Times New Roman;serif" w:hAnsi="Times New Roman;serif"/>
                  <w:b w:val="false"/>
                  <w:color w:val="0000FF"/>
                  <w:sz w:val="20"/>
                  <w:u w:val="single"/>
                </w:rPr>
                <w:t xml:space="preserve">Consolidated Balance Sheets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48">
              <w:r>
                <w:rPr>
                  <w:rStyle w:val="InternetLink"/>
                  <w:rFonts w:ascii="Times New Roman;serif" w:hAnsi="Times New Roman;serif"/>
                  <w:b w:val="false"/>
                  <w:strike w:val="false"/>
                  <w:dstrike w:val="false"/>
                  <w:color w:val="000000"/>
                  <w:sz w:val="20"/>
                  <w:u w:val="none"/>
                  <w:effect w:val="none"/>
                </w:rPr>
                <w:t>68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51">
              <w:r>
                <w:rPr>
                  <w:rStyle w:val="InternetLink"/>
                  <w:rFonts w:ascii="Times New Roman;serif" w:hAnsi="Times New Roman;serif"/>
                  <w:b w:val="false"/>
                  <w:color w:val="000080"/>
                  <w:sz w:val="20"/>
                  <w:u w:val="single"/>
                </w:rPr>
                <w:t xml:space="preserve">Consolidated Statements of Operations and Comprehensive </w:t>
              </w:r>
            </w:hyperlink>
            <w:hyperlink w:anchor="i2374b3e7dff54d6f8160656e32d66b0e_151">
              <w:r>
                <w:rPr>
                  <w:rStyle w:val="InternetLink"/>
                  <w:rFonts w:ascii="Times New Roman;serif" w:hAnsi="Times New Roman;serif"/>
                  <w:b w:val="false"/>
                  <w:color w:val="000080"/>
                  <w:sz w:val="20"/>
                  <w:u w:val="single"/>
                </w:rPr>
                <w:t>Income (</w:t>
              </w:r>
            </w:hyperlink>
            <w:hyperlink w:anchor="i2374b3e7dff54d6f8160656e32d66b0e_151">
              <w:r>
                <w:rPr>
                  <w:rStyle w:val="InternetLink"/>
                  <w:rFonts w:ascii="Times New Roman;serif" w:hAnsi="Times New Roman;serif"/>
                  <w:b w:val="false"/>
                  <w:color w:val="000080"/>
                  <w:sz w:val="20"/>
                  <w:u w:val="single"/>
                </w:rPr>
                <w:t>Loss</w:t>
              </w:r>
            </w:hyperlink>
            <w:r>
              <w:rPr>
                <w:rFonts w:ascii="Times New Roman;serif" w:hAnsi="Times New Roman;serif"/>
                <w:b w:val="false"/>
                <w:color w:val="000000"/>
                <w:sz w:val="20"/>
              </w:rPr>
              <w:t>)</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51">
              <w:r>
                <w:rPr>
                  <w:rStyle w:val="InternetLink"/>
                  <w:rFonts w:ascii="Times New Roman;serif" w:hAnsi="Times New Roman;serif"/>
                  <w:b w:val="false"/>
                  <w:strike w:val="false"/>
                  <w:dstrike w:val="false"/>
                  <w:color w:val="000000"/>
                  <w:sz w:val="20"/>
                  <w:u w:val="none"/>
                  <w:effect w:val="none"/>
                </w:rPr>
                <w:t>69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54">
              <w:r>
                <w:rPr>
                  <w:rStyle w:val="InternetLink"/>
                  <w:rFonts w:ascii="Times New Roman;serif" w:hAnsi="Times New Roman;serif"/>
                  <w:b w:val="false"/>
                  <w:color w:val="0000FF"/>
                  <w:sz w:val="20"/>
                  <w:u w:val="single"/>
                </w:rPr>
                <w:t xml:space="preserve">Consolidated Statements of Stockholders’ Equity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54">
              <w:r>
                <w:rPr>
                  <w:rStyle w:val="InternetLink"/>
                  <w:rFonts w:ascii="Times New Roman;serif" w:hAnsi="Times New Roman;serif"/>
                  <w:b w:val="false"/>
                  <w:strike w:val="false"/>
                  <w:dstrike w:val="false"/>
                  <w:color w:val="000000"/>
                  <w:sz w:val="20"/>
                  <w:u w:val="none"/>
                  <w:effect w:val="none"/>
                </w:rPr>
                <w:t>70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57">
              <w:r>
                <w:rPr>
                  <w:rStyle w:val="InternetLink"/>
                  <w:rFonts w:ascii="Times New Roman;serif" w:hAnsi="Times New Roman;serif"/>
                  <w:b w:val="false"/>
                  <w:color w:val="0000FF"/>
                  <w:sz w:val="20"/>
                  <w:u w:val="single"/>
                </w:rPr>
                <w:t xml:space="preserve">Consolidated Statements of Cash Flows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57">
              <w:r>
                <w:rPr>
                  <w:rStyle w:val="InternetLink"/>
                  <w:rFonts w:ascii="Times New Roman;serif" w:hAnsi="Times New Roman;serif"/>
                  <w:b w:val="false"/>
                  <w:strike w:val="false"/>
                  <w:dstrike w:val="false"/>
                  <w:color w:val="000000"/>
                  <w:sz w:val="20"/>
                  <w:u w:val="none"/>
                  <w:effect w:val="none"/>
                </w:rPr>
                <w:t>71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160">
              <w:r>
                <w:rPr>
                  <w:rStyle w:val="InternetLink"/>
                  <w:rFonts w:ascii="Times New Roman;serif" w:hAnsi="Times New Roman;serif"/>
                  <w:b w:val="false"/>
                  <w:color w:val="0000FF"/>
                  <w:sz w:val="20"/>
                  <w:u w:val="single"/>
                </w:rPr>
                <w:t>Notes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4b3e7dff54d6f8160656e32d66b0e_160">
              <w:r>
                <w:rPr>
                  <w:rStyle w:val="InternetLink"/>
                  <w:rFonts w:ascii="Times New Roman;serif" w:hAnsi="Times New Roman;serif"/>
                  <w:b w:val="false"/>
                  <w:strike w:val="false"/>
                  <w:dstrike w:val="false"/>
                  <w:color w:val="000000"/>
                  <w:sz w:val="20"/>
                  <w:u w:val="none"/>
                  <w:effect w:val="none"/>
                </w:rPr>
                <w:t>73</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Life360, Inc.</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Life360, Inc. and subsidiaries (the "Company") as of December 31, 2025 and 2024, the related consolidated statements of operations and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March 2, 2026, expressed an unqualified opinion on the Company’s internal control over financial reporting.</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Subscription revenue — Refer to Note 2 to the financial statements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derives a significant amount of its revenue from subscription sales. Subscriptions are considered single combined performance obligations and the subscription fees are fixed and recognized on a straight-line basis over the non-cancellable contractual term of the agreement. During the year ended December 31, 2025, the Company recognized subscription revenue of $369.3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identified subscription revenue as a critical audit matter given the significant volume of transactions. This required an increased extent of audit effort in performing procedures and evaluating audit evidence relating to the accuracy and occurrence of subscription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 Company's subscription revenue included the following,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tested the effectiveness of controls relating to the subscription revenue recognition process, including controls over the accuracy and occurrence of subscription revenue recognized.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tested the internal listing of subscriptions sold used by the Company to calculate subscription revenue by comparing the subscriptions sold to third-party information and cash receipts.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recalculated the amount of subscription revenue recorded using the internal listing of subscriptions sold.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922"/>
        <w:gridCol w:w="2312"/>
        <w:gridCol w:w="2306"/>
        <w:gridCol w:w="211"/>
        <w:gridCol w:w="826"/>
        <w:gridCol w:w="109"/>
        <w:gridCol w:w="109"/>
        <w:gridCol w:w="109"/>
        <w:gridCol w:w="109"/>
        <w:gridCol w:w="211"/>
        <w:gridCol w:w="826"/>
        <w:gridCol w:w="155"/>
      </w:tblGrid>
      <w:tr>
        <w:trPr/>
        <w:tc>
          <w:tcPr>
            <w:tcW w:w="292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 net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 and other assets, noncurrent</w:t>
            </w:r>
            <w:r>
              <w:rPr>
                <w:rFonts w:ascii="Times New Roman;serif" w:hAnsi="Times New Roman;serif"/>
                <w:b w:val="false"/>
                <w:color w:val="000000"/>
                <w:sz w:val="13"/>
              </w:rPr>
              <w:t>(2)(3)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 current</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 noncurrent</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10)</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shares authorized as of December 31, 2025 and December 31, 2024, respectively; 79,359,589 and 75,404,996 issued and outstanding as of December 31,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441,580 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related party receivables of $3 and $55 as of December 31, 2025 and December 31, 2024, respectively.</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(2) Includes $24,726 and zero measured using the fair value option as of December 31, 2025 and December 31, 2024, respectively, related to the Convertible Note Investment. Refer to Note 5, "Fair Value Measurements" for additional information. </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(3) The balance as of December 31, 2025 includes the $5,882 Related Party Investment and the $3,898 Related Party Warrant. The balance as of December 31, 2024 includes the $5,000 Related Party SAFE and the $3,898 Related Party Warrant. Refer to Note 5, "Fair Value Measurements" and Note 15, "Related-Party Transactions" for additional information. </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Includes related party deferred revenue, current of $780 and $877 as of December 31, 2025 and December 31, 2024, respectively.</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Includes related party deferred revenue, noncurrent of $2,242 and $3,021 as of December 31, 2025 and December 31, 2024, respectively.</w:t>
      </w:r>
    </w:p>
    <w:p>
      <w:pPr>
        <w:pStyle w:val="TextBody"/>
        <w:bidi w:val="0"/>
        <w:spacing w:lineRule="auto" w:line="288" w:before="36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and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224"/>
        <w:gridCol w:w="1853"/>
        <w:gridCol w:w="1858"/>
        <w:gridCol w:w="219"/>
        <w:gridCol w:w="862"/>
        <w:gridCol w:w="109"/>
        <w:gridCol w:w="109"/>
        <w:gridCol w:w="109"/>
        <w:gridCol w:w="109"/>
        <w:gridCol w:w="219"/>
        <w:gridCol w:w="862"/>
        <w:gridCol w:w="109"/>
        <w:gridCol w:w="109"/>
        <w:gridCol w:w="109"/>
        <w:gridCol w:w="109"/>
        <w:gridCol w:w="219"/>
        <w:gridCol w:w="862"/>
        <w:gridCol w:w="155"/>
      </w:tblGrid>
      <w:tr>
        <w:trPr/>
        <w:tc>
          <w:tcPr>
            <w:tcW w:w="2224"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Hardware revenue</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hardware revenue</w:t>
            </w:r>
            <w:r>
              <w:rPr>
                <w:rFonts w:ascii="Times New Roman;serif" w:hAnsi="Times New Roman;serif"/>
                <w:b w:val="false"/>
                <w:color w:val="000000"/>
                <w:sz w:val="13"/>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fair value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change in fair value of investments</w:t>
            </w:r>
            <w:r>
              <w:rPr>
                <w:rFonts w:ascii="Times New Roman;serif" w:hAnsi="Times New Roman;serif"/>
                <w:b w:val="false"/>
                <w:color w:val="000000"/>
                <w:sz w:val="13"/>
              </w:rPr>
              <w:t>(4)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 (Note 17)</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 (Note 17)</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basic (Note 17)</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66,748,542 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diluted (Note 17)</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66,748,542 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related party revenue of $195, $55, and zero for the years ended December 31, 2025, 2024, and 2023, respectively.</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Includes related party revenue of $890, zero, and zero for the years ended December 31, 2025, 2024, and 2023, respectively.</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Includes related party cost of revenue of $137, zero, and zero for the years ended December 31, 2025, 2024, and 2023, respectively.</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Includes a related party gain of $882, zero, and zero for the years ended December 31, 2025, 2024, and 2023, respectively.</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Includes related party other expense of zero, $5,498, and zero for the years ended December 31, 2025, 2024, and 2023, respectively.</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U.S. $, in thousands, except share and per share data)</w:t>
      </w:r>
    </w:p>
    <w:tbl>
      <w:tblPr>
        <w:tblW w:w="10831" w:type="dxa"/>
        <w:jc w:val="center"/>
        <w:tblInd w:w="0" w:type="dxa"/>
        <w:tblLayout w:type="fixed"/>
        <w:tblCellMar>
          <w:top w:w="28" w:type="dxa"/>
          <w:left w:w="28" w:type="dxa"/>
          <w:bottom w:w="28" w:type="dxa"/>
          <w:right w:w="28" w:type="dxa"/>
        </w:tblCellMar>
      </w:tblPr>
      <w:tblGrid>
        <w:gridCol w:w="638"/>
        <w:gridCol w:w="311"/>
        <w:gridCol w:w="31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11"/>
        <w:gridCol w:w="521"/>
        <w:gridCol w:w="109"/>
        <w:gridCol w:w="109"/>
        <w:gridCol w:w="109"/>
        <w:gridCol w:w="109"/>
        <w:gridCol w:w="211"/>
        <w:gridCol w:w="841"/>
        <w:gridCol w:w="109"/>
        <w:gridCol w:w="109"/>
        <w:gridCol w:w="109"/>
        <w:gridCol w:w="109"/>
        <w:gridCol w:w="376"/>
        <w:gridCol w:w="644"/>
        <w:gridCol w:w="196"/>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 Due</w:t>
              <w:br/>
              <w:t>from </w:t>
              <w:br/>
              <w:t>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65,239,843 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935,007 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notes due from affiliate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accrued relating to notes due from affiliates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68,155,830 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758,101 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2,315,587 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issuance costs of $13,293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3,703,704 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75,404,996 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648,124 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1,545,786 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2,379,350 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 related to the June 2025 Convertible Notes,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79,359,589 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686,921 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548,182 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w:t>
      </w:r>
    </w:p>
    <w:tbl>
      <w:tblPr>
        <w:tblW w:w="10205" w:type="dxa"/>
        <w:jc w:val="center"/>
        <w:tblInd w:w="0" w:type="dxa"/>
        <w:tblLayout w:type="fixed"/>
        <w:tblCellMar>
          <w:top w:w="28" w:type="dxa"/>
          <w:left w:w="28" w:type="dxa"/>
          <w:bottom w:w="28" w:type="dxa"/>
          <w:right w:w="28" w:type="dxa"/>
        </w:tblCellMar>
      </w:tblPr>
      <w:tblGrid>
        <w:gridCol w:w="2358"/>
        <w:gridCol w:w="1955"/>
        <w:gridCol w:w="1968"/>
        <w:gridCol w:w="211"/>
        <w:gridCol w:w="826"/>
        <w:gridCol w:w="109"/>
        <w:gridCol w:w="109"/>
        <w:gridCol w:w="109"/>
        <w:gridCol w:w="109"/>
        <w:gridCol w:w="211"/>
        <w:gridCol w:w="666"/>
        <w:gridCol w:w="109"/>
        <w:gridCol w:w="109"/>
        <w:gridCol w:w="109"/>
        <w:gridCol w:w="109"/>
        <w:gridCol w:w="211"/>
        <w:gridCol w:w="771"/>
        <w:gridCol w:w="156"/>
      </w:tblGrid>
      <w:tr>
        <w:trPr/>
        <w:tc>
          <w:tcPr>
            <w:tcW w:w="235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capitalized to obtain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amounts capitalized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in connection with revesting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fair value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convertible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change in fair value of investments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revenue from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write-off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in connection with membership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SAFE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Indemnity escrow payment in connection with an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tax withholdings on restricted stock settlements and the exercise of stock options and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U.S. initial public offering, net of underwriting discounts and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U.S. initial public offering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 of notes due from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tbl>
      <w:tblPr>
        <w:tblW w:w="10205" w:type="dxa"/>
        <w:jc w:val="center"/>
        <w:tblInd w:w="0" w:type="dxa"/>
        <w:tblLayout w:type="fixed"/>
        <w:tblCellMar>
          <w:top w:w="28" w:type="dxa"/>
          <w:left w:w="28" w:type="dxa"/>
          <w:bottom w:w="28" w:type="dxa"/>
          <w:right w:w="28" w:type="dxa"/>
        </w:tblCellMar>
      </w:tblPr>
      <w:tblGrid>
        <w:gridCol w:w="2259"/>
        <w:gridCol w:w="1950"/>
        <w:gridCol w:w="1963"/>
        <w:gridCol w:w="211"/>
        <w:gridCol w:w="826"/>
        <w:gridCol w:w="109"/>
        <w:gridCol w:w="109"/>
        <w:gridCol w:w="109"/>
        <w:gridCol w:w="109"/>
        <w:gridCol w:w="211"/>
        <w:gridCol w:w="826"/>
        <w:gridCol w:w="109"/>
        <w:gridCol w:w="109"/>
        <w:gridCol w:w="109"/>
        <w:gridCol w:w="109"/>
        <w:gridCol w:w="211"/>
        <w:gridCol w:w="721"/>
        <w:gridCol w:w="155"/>
      </w:tblGrid>
      <w:tr>
        <w:trPr/>
        <w:tc>
          <w:tcPr>
            <w:tcW w:w="225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Beginning of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(refunds received) during the period for income taxes,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included in the measurement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 recognized in connection with lease modification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stock issued in connection with the acquisition of Fantix, Inc.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incurred in connection with the acquisition of Fantix, Inc.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recognized in connection with lease modification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September 2021 Convertible Notes to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July 2021 Convertible Notes and accrued interest to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within 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in internally developed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Warrant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Related Party SAFE to Related Party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a related party gain of $882, zero, and zero for the years ended December 31, 2025, 2024, and 2023,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cash, cash equivalents, and restricted cash reported within the consolidated statements of cash flows shown above: </w:t>
      </w:r>
    </w:p>
    <w:tbl>
      <w:tblPr>
        <w:tblW w:w="8374" w:type="dxa"/>
        <w:jc w:val="left"/>
        <w:tblInd w:w="0" w:type="dxa"/>
        <w:tblLayout w:type="fixed"/>
        <w:tblCellMar>
          <w:top w:w="28" w:type="dxa"/>
          <w:left w:w="28" w:type="dxa"/>
          <w:bottom w:w="28" w:type="dxa"/>
          <w:right w:w="28" w:type="dxa"/>
        </w:tblCellMar>
      </w:tblPr>
      <w:tblGrid>
        <w:gridCol w:w="1554"/>
        <w:gridCol w:w="1364"/>
        <w:gridCol w:w="1371"/>
        <w:gridCol w:w="211"/>
        <w:gridCol w:w="826"/>
        <w:gridCol w:w="109"/>
        <w:gridCol w:w="109"/>
        <w:gridCol w:w="109"/>
        <w:gridCol w:w="109"/>
        <w:gridCol w:w="211"/>
        <w:gridCol w:w="826"/>
        <w:gridCol w:w="109"/>
        <w:gridCol w:w="109"/>
        <w:gridCol w:w="109"/>
        <w:gridCol w:w="109"/>
        <w:gridCol w:w="221"/>
        <w:gridCol w:w="757"/>
        <w:gridCol w:w="161"/>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2023</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939" w:type="dxa"/>
            <w:gridSpan w:val="12"/>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Life360 mobile application, the Company also offers hardware tracking devices through the sale of Tile by Life360, Inc. (“Tile”) and Life360 Pet GPS products to keep members close to the people, pets, and things they care about most. 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generates revenue through partnerships, including through the placement of ads within our platform, and the sale of aggregated, non-personally identifiable data for data insight purposes.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Management and Board of Directors Transitions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11, 2025, the Company announced that its Board of Directors appointed Lauren Antonoff, then Chief Operating Officer, as the Company’s Chief Executive Officer and a member of the Company’s Board of Directors, and Chris Hulls, the Company’s Co-Founder and then Chief Executive Officer, as Executive Chairman of the Board.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Effective the same date, the Company’s Board of Directors appointed Mark Goines as Lead Independent Director.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U.S. Initial Public Offering (“U.S. IPO”)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2024, the Company completed its U.S. IPO and began trading on the Nasdaq Global Select Market under the trading symbol “LIF”. The Company issued and sold 3,703,704 shares of common stock and certain selling securityholders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An additional $5.5 million of expenses were paid on behalf of selling securityholders. Refer to Note 15, "Related-Party Transactions" for further details. The Company did not receive any proceeds from the sale of shares of common stock by the selling securityholders.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U.S. IPO, the Company restated its certificate of incorporation to increase the authorized number of shares of its common stock from 100,000,000 shares to 500,000,000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and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and accompanying notes have been prepared in accordance with generally accepted accounting principles in the U.S., or (“GAAP”), are presented in U.S. dollars unless otherwise stated, and include the accounts of the Company and its wholly owned subsidiaries. All inter-company transactions and balances have been eliminated.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current period, the Company revised its presentation of Interest income in the consolidated statements of operations and comprehensive income (loss) to provide more meaningful information to financial statement users. Previously, Interest income was included within Other income (expense), net. Comparative prior period amounts have been reclassified to conform to the current period presentation. The reclassification had no impact on net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allowance for credit losses and product returns;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promotional and marketing allowances;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inventory valuation;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average useful customer life;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valuation of stock-based awards, including market-based restricted stock units (“MRSUs”);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achievement of performance-based restricted stock units (“PRSUs”);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legal contingencies;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of long-lived assets and goodwill;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valuation of non-cash consideration, contingent consideration, investments, convertible notes, and embedded derivatives;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useful lives of long-lived assets;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taxes including valuation allowances on deferred tax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bases its estimates and judgments on historical experience and on various assumptions that it believes are reasonable under the circumstances. Actual results could differ significantly from those estimates.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120" w:after="283"/>
        <w:jc w:val="both"/>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(Topic 740):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 xml:space="preserve">The ASU requires disaggregated information about a reporting entity’s effective tax rate reconciliation as well as information on income taxes paid. The updates in this ASU are effective for annual periods beginning after December 15, 2024, and can be applied either retrospectively or prospectively. The Company adopted the ASU and has opted for retrospective application to our income tax disclosures as presented in Note 14, "Income Taxes". The adoption of this ASU did not have a material impact on the Company’s financial position or results of operations. Prior-year income tax disclosures for 2024 and 2023 have been updated to conform to the current period presentation.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Accounting pronouncements not yet adopted </w:t>
      </w:r>
    </w:p>
    <w:p>
      <w:pPr>
        <w:pStyle w:val="TextBody"/>
        <w:bidi w:val="0"/>
        <w:spacing w:lineRule="auto" w:line="288" w:before="120" w:after="283"/>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ASU clarifies and reorganizes interim reporting guidance, including disclosure requirements related to events occurring since the end of the most recent annual reporting period, and improves the presentation and usability of interim financial statement disclosures. The ASU is effective for interim reporting periods within fiscal years beginning after December 15, 2027, with early adoption permitted. The Company is currently evaluating the impact of this ASU on its interim financial reporting and does not expect the adoption of this ASU to have a material impact on its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The ASU narrows the scope of derivative accounting by excluding certain non-exchange-traded contracts whose terms are based on the normal operations or activities of one of the parties, and clarifies that share-based noncash consideration received from a customer in a revenue contract should be accounted for under ASC 606 until the right to the consideration becomes unconditional. The ASU is effective for annual periods beginning after December 15, 2026, and interim periods within those annual periods, with early adoption permitted. The Company does not expect the adoption of this ASU to have a material impact on its financial position or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The ASU eliminates project stages and requires software cost capitalization to begin after management has authorized and committed to funding the software project and it is probable the project will be completed and used to perform the function intended. The ASU also requires additional property, plant and equipment disclosures for all capitalized software costs. The ASU is effective for annual periods beginning after December 15, 2027, and interim periods within those years, with early adoption permitted. The Company is currently evaluating the impact of this ASU on its consolidated financial statements and related disclosures.</w:t>
      </w:r>
    </w:p>
    <w:p>
      <w:pPr>
        <w:pStyle w:val="TextBody"/>
        <w:bidi w:val="0"/>
        <w:spacing w:lineRule="auto" w:line="288" w:before="240" w:after="283"/>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The ASU introduces a practical expedient for estimating expected credit losses on current accounts receivable and current contract assets arising from revenue transactions from contracts with customers. The ASU is effective for annual periods beginning after December 15, 2025, and interim periods within those annual periods, with early adoption permitted. The Company is currently evaluating the impact of this ASU on its consolidated financial statements and related disclosures.</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(Subtopic 220-40): Disaggregation of Income Statement Expenses. </w:t>
      </w:r>
      <w:r>
        <w:rPr>
          <w:rFonts w:ascii="Times New Roman;serif" w:hAnsi="Times New Roman;serif"/>
          <w:b w:val="false"/>
          <w:color w:val="000000"/>
          <w:sz w:val="20"/>
        </w:rPr>
        <w:t>The ASU requires the disclosure of additional information related to certain costs and expenses, including amounts of inventory purchases, employee compensation, and depreciation and amortization included in each income statement line item. The ASU is effective for the Company beginning in fiscal year 2027 and interim periods beginning in fiscal year 2028, with early adoption permitted. The Company is currently evaluating the impact of adopting this ASU on its consolidated financial statements and disclosures.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generates revenue from direct and indirect streams. Direct revenue includes subscription and hardware revenue, while indirect revenue consists of all other revenue sources, such as data and partnership, which includes advertising.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upon transfer of control of promised goods or services to customers at transaction price, an amount that reflects the consideration the Company expects to receive in exchange for those goods or services. Transaction price is calculated as the net selling price of variable consideration, which may include estimates for future returns and sales incentives related to current period revenue. The Company determines revenue recognition through the following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Subscription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subscription revenue is comprised of Life360 mobile application subscriptions and premium subscription service plans for hardware tracking devices. The Company’s subscription contracts with customers are established at the point of mobile application download and purchase as indicated through acceptance of the Company’s Terms of Use. The Company’s subscription agreements generally have monthly or annual contractual terms and are billed and paid in advance.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premium subscription plan for hardware tracking devices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 The Company recognizes revenues on a straight-line basis because the customer receives and consumes the benefits of the service ratably throughout the contractual period. The Company’s contracts are generally non-cancelable and do not provide for refunds to customers in the event of cancellations.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Hardware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hardware revenue consists of hardware and accessories, embedded software, customer support and unspecified upgrades and updates on a when and if-available basis, and includes amounts generated from a partnership with a related party, as described in Note 15, "Related-Party Transactions". The Company’s hardware and embedded operating system are considered one performance obligation as the embedded operation system is integral to the functionality of the hardware and only combined produce the essential functionality of the hardware. Revenue for the hardware and embedded software performance obligation is recognized when control is transferred to the customer. The allocated value of the unspecified updates and upgrades and customer support are recognized as hardware revenue ratably over the estimated economic life of the hardware. The Company offers certain rights of return and estimates return reserves based on historical experience, and the reserves are recorded as a reduction of revenue and an accrued liability. Amounts billed to customers for shipping and handling are classified as revenue, and the Company’s related shipping and handling costs incurred are classified as cost of revenue. Sales taxes collected from customers and remitted to respective governmental authorities are recorded as liabilities and are not included in revenue. The customers are billed upon shipment of hardware tracking devices.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premium subscription service plans available for hardware tracking devices are separate and distinct from hardware performance obligations and are included in subscription revenue.</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other revenue consists of data and partnership revenue, which includes advertising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Data revenue is generated primarily through an arrangement with a key data partner that provides location-based analytics to customers in the retail and real estate sectors, municipalities, and other private and public organizations (“Data Partner”). In January 2022, the Company announced a partnership agreement with a Data Partner, a prominent provider of aggregated analytics for the retail ecosystem, in which executives of the Company have an immaterial ownership interest through a passive investment vehicle. This agreement was amended and restated in August 2024, and the term was extended for a period of five years. As part of this partnership, the Data Partner will provide data processing and analytics services to the Company and will have the right to commercialize aggregated data related to place visits during the agreement term. The partnership agreement includes fixed and variable monthly revenue amounts, as well as quarterly minimum guarantees, for access to aggregated data for the duration of the five-year agreement. The Company has an obligation to provide aggregated user data over the term of the partnership agreement and recognizes revenue ratably over the performance period as data is delivered. In connection with the original agreement, the Data Partner issued the Company a warrant to purchase up to 5,100,167 shares of Series C Preferred Stock of the Data Partner (the “Data Revenue Partner Warrant”) at an exercise price of $4.90 per share. The Company estimates and includes variable consideration related to the Data Revenue Partner Warrant, in the transaction price at contract inception to the extent it is probable that a significant reversal in the amount of cumulative revenue recognized will not occur when the uncertainty associated with the variable consideration is subsequently resolved. The partnership agreement has standard payment terms that require payment within 30 days.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grant of the Data Revenue Partner Warrant is considered non-cash consideration, which the Company measured at fair value on the date of issuance. The warrant was valued using a Black-Scholes option pricing model, and the fair value at issuance of approximately $5.4 million has been included as variable consideration in the transaction price of the data partnership agreement, and is included in prepaid expenses and other assets, noncurrent and deferred revenue on the Company’s consolidated balance sheets. The fair value of the warrant included within deferred revenue is amortized to other revenue over the life of the agreement. Refer to the "Investments" section below for additional information regarding the Company's Data Revenue Partner Warrant.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Data revenue was $32.7 million, $26.6 million, and $21.6 million for the years ended December 31, 2025, 2024, and 2023,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Partnership revenue includes lead generation offerings and agreements with third parties that allow access to anonymized data insights or advertising on the Company’s mobile platform. Under these agreements, the Company may earn a percentage of the revenue generated from data insights or advertising spend. Revenue is recorded on a gross basis if the Company acts as the principal in the transaction, or a net basis if the Company acts as the agent. Variable amounts earned from partnership revenue arrangements are allocated to the month in which the partner’s related revenue is generated or advertising is delivered. </w:t>
      </w:r>
    </w:p>
    <w:p>
      <w:pPr>
        <w:pStyle w:val="TextBody"/>
        <w:bidi w:val="0"/>
        <w:spacing w:lineRule="auto" w:line="288" w:before="240" w:after="283"/>
        <w:jc w:val="both"/>
        <w:rPr/>
      </w:pPr>
      <w:r>
        <w:rPr>
          <w:rFonts w:ascii="Times New Roman;serif" w:hAnsi="Times New Roman;serif"/>
          <w:b w:val="false"/>
          <w:color w:val="000000"/>
          <w:sz w:val="20"/>
        </w:rPr>
        <w:t>Partnership revenue also includes revenue related to the Company’s partnership with a related party. In 2024, the Company entered into a strategic partnership and series of transactions with a related party, including a partnership and revenue share agreement (the “Related Party Agreement”). Refer to Note 15, "Related-Party Transactions" for additional information. The Related Party Agreement includes revenue-share payments in which the related party will pay the Company a percentage of revenues earned from leveraging the new global location-tracking network service offering. In connection with the Related Party Agreement, the related party issued the Company a warrant to purchase up to 6,147,574</w:t>
      </w:r>
      <w:r>
        <w:rPr>
          <w:color w:val="FF0000"/>
        </w:rPr>
        <w:t xml:space="preserve"> </w:t>
      </w:r>
      <w:r>
        <w:rPr>
          <w:rFonts w:ascii="Times New Roman;serif" w:hAnsi="Times New Roman;serif"/>
          <w:b w:val="false"/>
          <w:color w:val="000000"/>
          <w:sz w:val="20"/>
        </w:rPr>
        <w:t>shares of its common stock at an exercise price of $0.46 per share (the “Related Party Warrant”). The Company estimates and includes variable consideration related to the Related Party Warrant, in the transaction price at contract inception to the extent it is probable that a significant reversal in the amount of cumulative revenue recognized will not occur when the uncertainty associated with the variable consideration is subsequently resolved. The Related Party Agreement has standard payment terms that require payment within 30 days.</w:t>
      </w:r>
    </w:p>
    <w:p>
      <w:pPr>
        <w:pStyle w:val="TextBody"/>
        <w:bidi w:val="0"/>
        <w:spacing w:lineRule="auto" w:line="288" w:before="240" w:after="283"/>
        <w:jc w:val="both"/>
        <w:rPr/>
      </w:pPr>
      <w:r>
        <w:rPr>
          <w:rFonts w:ascii="Times New Roman;serif" w:hAnsi="Times New Roman;serif"/>
          <w:b w:val="false"/>
          <w:color w:val="000000"/>
          <w:sz w:val="20"/>
        </w:rPr>
        <w:t>The grant of the Related Party Warrant was considered non-cash consideration, which the Company measured at fair value on the date of issuance. The Related Party Warrant includes various performance-based vesting conditions based on revenue and operational milestones to be measured and assessed throughout the term of the agreement. As of December 31, 2025, 2,049,191 shares of the Related Party Warrant have vested. The warrant was valued using a Black Scholes option-pricing model, and the fair value of approximately $3.9 million has been included as consideration in the transaction price of the Related Party Agreement, and is also included in prepaid expenses and other assets, noncurrent and deferred revenue on the Company’s consolidated balance sheets. The fair value of the warrant included within deferred revenue is amortized to other revenue over the life of the agreement. The Company recognized $0.9 million, zero, and zero</w:t>
      </w:r>
      <w:r>
        <w:rPr>
          <w:color w:val="000000"/>
        </w:rPr>
        <w:t xml:space="preserve"> </w:t>
      </w:r>
      <w:r>
        <w:rPr>
          <w:rFonts w:ascii="Times New Roman;serif" w:hAnsi="Times New Roman;serif"/>
          <w:b w:val="false"/>
          <w:color w:val="000000"/>
          <w:sz w:val="20"/>
        </w:rPr>
        <w:t>in other revenue on the consolidated statements of operations and comprehensive income (loss) in connection with the Related Party Warrant during the years ended December 31, 2025, 2024, and 2023,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Partnership revenue was $35.7 million, $9.4 million, and $3.9 million for the years ended December 31, 2025, 2024, and 2023, respectively.</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 Obligations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Company’s contracts with customers contain multiple performance obligations, primarily hardware and subscription services for hardware tracking devices and hardware bundles (bundled Life360 subscription and hardware offerings). For these contracts, the Company accounts for individual performance obligations separately if they are distinct and distinct within the context of the contract. The transaction price is allocated to the separate performance obligations on a relative stand-alone selling price (“SSP”) basis with the amounts 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goods and services when sold separately. When such observable prices are not available, the Company determines SSP based on multiple factors including consumer behaviors, the Company’s internal pricing model, and relative costs incurred plus a normal margin. The factors may vary depending on the facts and circumstances related to each performance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Our hardware sales arrangements typically contain multiple performance obligations, consisting of the hardware sale, application usage, hardware support, and in some cases, premium subscriptions. The Company provides warranties of up to twelve months for products with manufacturing defects or hardware failures. As part of Tile Premium subscriptions, the Company offers warranties to end-users covering the contractual service period (up to 3 years) for products with manufacturing defects or hardware failures. The warranties are not sold separately and do not represent separate performance obligations. Payment terms and conditions vary by contract type and are billed either in advance or have a standard payment term generally requiring payment within 30 to 60 days. Therefore, such warranties are accounted for under ASC 460, </w:t>
      </w:r>
      <w:r>
        <w:rPr>
          <w:rFonts w:ascii="Times New Roman;serif" w:hAnsi="Times New Roman;serif"/>
          <w:b w:val="false"/>
          <w:i/>
          <w:color w:val="000000"/>
          <w:sz w:val="20"/>
        </w:rPr>
        <w:t>Guarantees</w:t>
      </w:r>
      <w:r>
        <w:rPr>
          <w:rFonts w:ascii="Times New Roman;serif" w:hAnsi="Times New Roman;serif"/>
          <w:b w:val="false"/>
          <w:color w:val="000000"/>
          <w:sz w:val="20"/>
        </w:rPr>
        <w:t>, and the estimated costs of warranty claims are generally accrued as cost of revenue in the period the related revenue is recorded.</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Variable Consideration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hardware revenue at the net sales price, which includes certain estimates for variable consideration with its customers. The Company’s variable consideration is primarily in the form of promotional agreements and marketing development fund agreements related to the hardware tracking devices.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agreements are designed to enhance the sale of the Company’s products and consist of incentives to the Company’s customers. The Company estimates variable consideration using the expected value method. All forms of variable consideration are recorded as contra-revenue and a corresponding liability in its consolidated balance sheets. These estimates are based on the Company’s incentive program experience, historical and projected sales data and current contractual terms. The remaining portion of this liability is based on contractual amounts and does not require estimation.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Remaining Performance Obligations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in connection with remaining performance obligations was $207.1 million as of December 31, 2025, of which the Company expects 43% to be recognized over the next twelve months.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subscription revenue primarily consists of expenses related to hosting the Company’s services and providing support to the Company’s free members and paying subscribers. These expenses include personnel-related costs associated with the Company’s cloud-based infrastructure and the Company’s customer support organization, third-party hosting fees, software and maintenance costs, outside services associated with the delivery of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other revenue includes cloud-based hosting costs, as well as costs of product operations functions and personnel-related costs associated with the Company’s data and advertising platforms. Personnel-related expenses include salaries, bonuses, benefits, and stock-based compensation for operations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Costs Capitalized to Obtain Contracts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Costs capitalized to obtain contracts are comprised of commission payments in connection with annual subscription sales of the Company’s mobile application through a third-party store platform. These costs that are incremental and directly related to new customer sales contracts are accrued and capitalized upon execution of a non-cancelable customer contract, and subsequently expensed over the estimated period of benefit, which is currently estimated to be three years. The Company has elected the practical expedient under ASC 340-40 to expense incremental costs of obtaining a contract if the amortization periods is one year or less.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Accounts Receivable and Allowances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are recorded at the invoiced amount, net of allowance for credit losses. The allowance for credit losses is based on the Company’s assessment of the collectibility of accounts by considering the age of each outstanding invoice, the collection history of each customer, and an evaluation of the current expected risk of credit loss based on current economic conditions and reasonable and supportable forecasts of future economic conditions over the life of the receivable. The Company assesses collectibility by reviewing accounts receivable on an aggregated basis where similar characteristics exist and on an individual basis when specific customers with collectibility issues are identified. As of December 31, 2025 and 2024, the allowance for credit losses was $0.1 million and $0.4 million, respectively. For the years ended December 31, 2025, 2024, and 2023, respectively, the provision for credit losses expense was $0.8 million, $0.3 million, and zero.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accounts receivable, net are unbilled receivables, which are amounts that have not yet been invoiced to customers as of the balance sheet date, but are contractually owed to the Company.. As of December 31, 2025 and 2024, unbilled receivables were $10.3 million and $5.5 million, respectively.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Inventory and Contract Manufacturing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Inventory is comprised of raw materials and finished goods related to hardware tracking devices and accessories. Inventory is stated at the lower of cost or net realizable value on a weighted average basis. The Company assesses the valuation of inventory and writes down the value for estimated excess and obsolete inventory based upon estimates of future demand and market conditions.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outsources a significant portion of its manufacturing to an independent contract manufacturer in Asia. A significant portion of its cost of revenue consists of inventory purchased from this manufacturer. The Company’s inventory is held at third party warehouses and the contract manufacturer premises. The Company’s manufacturer procures components and manufactures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Concentrations of Risk and Significant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business, operations, and financial results are subject to various risks and uncertainties, including adverse global economic conditions and competition in the Company’s industry that could adversely affect the Company’s business, financial conditions, results of operations and cash flows. These important factors, among others, could cause actual results to differ materially from any future results.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Major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customers primarily consist of individual consumers, who subscribe to the Company’s product offerings through its third-party platforms (each a “Channel Partner”), data and partnership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the Company’s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its accounts receivable from revenue earned from customers located in the U.S. and internationally. Channel and retail partners account for the majority of the Company’s revenue and accounts receivable for all periods presented.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information about Channel Partners that processed revenue transactions and retail partners who accounted for more than 10% of revenue or accounts receivable, respectively: </w:t>
      </w:r>
    </w:p>
    <w:tbl>
      <w:tblPr>
        <w:tblW w:w="4784" w:type="dxa"/>
        <w:jc w:val="left"/>
        <w:tblInd w:w="0" w:type="dxa"/>
        <w:tblLayout w:type="fixed"/>
        <w:tblCellMar>
          <w:top w:w="28" w:type="dxa"/>
          <w:left w:w="28" w:type="dxa"/>
          <w:bottom w:w="28" w:type="dxa"/>
          <w:right w:w="28" w:type="dxa"/>
        </w:tblCellMar>
      </w:tblPr>
      <w:tblGrid>
        <w:gridCol w:w="794"/>
        <w:gridCol w:w="696"/>
        <w:gridCol w:w="699"/>
        <w:gridCol w:w="180"/>
        <w:gridCol w:w="181"/>
        <w:gridCol w:w="271"/>
        <w:gridCol w:w="109"/>
        <w:gridCol w:w="109"/>
        <w:gridCol w:w="109"/>
        <w:gridCol w:w="180"/>
        <w:gridCol w:w="181"/>
        <w:gridCol w:w="271"/>
        <w:gridCol w:w="109"/>
        <w:gridCol w:w="109"/>
        <w:gridCol w:w="109"/>
        <w:gridCol w:w="180"/>
        <w:gridCol w:w="181"/>
        <w:gridCol w:w="316"/>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(Apple)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(Google)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i/>
          <w:color w:val="000000"/>
          <w:sz w:val="20"/>
        </w:rPr>
        <w:t>*    Represents less than 10%</w:t>
      </w:r>
      <w:r>
        <w:rPr>
          <w:color w:val="000000"/>
        </w:rPr>
        <w:t xml:space="preserve"> </w:t>
      </w:r>
    </w:p>
    <w:tbl>
      <w:tblPr>
        <w:tblW w:w="5336" w:type="dxa"/>
        <w:jc w:val="left"/>
        <w:tblInd w:w="0" w:type="dxa"/>
        <w:tblLayout w:type="fixed"/>
        <w:tblCellMar>
          <w:top w:w="28" w:type="dxa"/>
          <w:left w:w="28" w:type="dxa"/>
          <w:bottom w:w="28" w:type="dxa"/>
          <w:right w:w="28" w:type="dxa"/>
        </w:tblCellMar>
      </w:tblPr>
      <w:tblGrid>
        <w:gridCol w:w="794"/>
        <w:gridCol w:w="696"/>
        <w:gridCol w:w="699"/>
        <w:gridCol w:w="254"/>
        <w:gridCol w:w="254"/>
        <w:gridCol w:w="632"/>
        <w:gridCol w:w="254"/>
        <w:gridCol w:w="254"/>
        <w:gridCol w:w="254"/>
        <w:gridCol w:w="254"/>
        <w:gridCol w:w="254"/>
        <w:gridCol w:w="737"/>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Gross Accounts Receivable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(Apple)</w:t>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(Google)</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Partner A</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Partner A</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pPr>
      <w:r>
        <w:rPr>
          <w:rFonts w:ascii="Times New Roman;serif" w:hAnsi="Times New Roman;serif"/>
          <w:b w:val="false"/>
          <w:i/>
          <w:color w:val="000000"/>
          <w:sz w:val="20"/>
        </w:rPr>
        <w:t>*    Represents less than 10%</w:t>
      </w:r>
      <w:r>
        <w:rPr>
          <w:color w:val="000000"/>
        </w:rPr>
        <w:t xml:space="preserve">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Supplier Concentration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Costs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charges costs related to research and development which consist primarily of personnel-related costs for its engineering, product, and design teams, material costs of building and developing prototypes for new products, mobile app development, and allocated overhead.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Sales and Marketing Costs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sales and marketing expenses consist primarily of commissions to Channel Partners, personnel-related costs, brand marketing costs, lead generation costs, sales incentives, sponsorships, amortization of acquired intangibles, bad debt expense, and allocated overhead. Commission payments to Channel Partners in connection with annual subscription sales of the Company’s mobile application on third-party store platforms are considered to be incremental and recoverable costs of obtaining a contract with a customer and are either expensed as incurred or deferred and amortized over an estimated period of benefit of three years depending on the subscription type.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Advertising Expense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expenses are recorded in the period in which cost is incurred, and are presented within sales and marketing expense on the consolidated statements of operations. Advertising expense was $36.1 million, $23.8 million, and $28.6 million for the years ended December 31,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Restricted Cash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restricted cash, noncurrent balance of $1.6 million and $1.2 million as of December 31, 2025 and December 31, 2024, respectively, relates to cash deposits restricted under letters of credit issued on behalf of the Company in support of indebtedness to trade creditors incurred in the ordinary course of business.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and reports certain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 </w:t>
      </w:r>
    </w:p>
    <w:p>
      <w:pPr>
        <w:pStyle w:val="TextBody"/>
        <w:bidi w:val="0"/>
        <w:spacing w:lineRule="auto" w:line="288" w:before="240" w:after="283"/>
        <w:jc w:val="both"/>
        <w:rPr/>
      </w:pPr>
      <w:r>
        <w:rPr>
          <w:rFonts w:ascii="Times New Roman;serif" w:hAnsi="Times New Roman;serif"/>
          <w:b w:val="false"/>
          <w:color w:val="000000"/>
          <w:sz w:val="20"/>
        </w:rPr>
        <w:t xml:space="preserve">The Company measures certain non-marketable equity securities and warrant investments at fair value on a nonrecurring basis in accordance with ASC 321, </w:t>
      </w:r>
      <w:r>
        <w:rPr>
          <w:rFonts w:ascii="Times New Roman;serif" w:hAnsi="Times New Roman;serif"/>
          <w:b w:val="false"/>
          <w:i/>
          <w:color w:val="000000"/>
          <w:sz w:val="20"/>
        </w:rPr>
        <w:t xml:space="preserve">Investment - Equity Securities. </w:t>
      </w:r>
      <w:r>
        <w:rPr>
          <w:rFonts w:ascii="Times New Roman;serif" w:hAnsi="Times New Roman;serif"/>
          <w:b w:val="false"/>
          <w:color w:val="000000"/>
          <w:sz w:val="20"/>
        </w:rPr>
        <w:t>Instruments are remeasured to fair value when observable price changes in orderly transactions for an identical or a similar investment of the same issuer occur.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three levels of inputs that may be used to measure fair value are as follows: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1 – Observable inputs, such as quoted prices in active markets for identical assets or liabilities.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2 – Observable inputs other than Level 1 prices, such as quoted prices for similar assets or liabilities, or other inputs that are observable or can be corroborated by observable market data for substantially the full term of the assets or liabilities.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3 – Valuations based on unobservable inputs to the valuation methodology and including data about assumptions market participants would use in pricing the asset or liability based on the best information available under the circumstances.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recorded carrying amounts of certain financial instruments, including cash and cash equivalents, prepaid expenses, accounts payable, and accounts receivable as of December 31, 2025 and December 31, 2024, approximate fair value due to their short-term maturities. Refer to Note 5, "Fair Value Measurements" and Note 7, "Balance Sheet Components" for additional information on the assets and liabilities measured at fair value.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which includes construction-in-process that is capitalized and depreciated when placed into service, have estimated useful lives ranging from three to five years. Leasehold improvements are amortized on a straight-line basis over the lesser of the estimated useful life or the term of the lease with expected renewals.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Costs of maintenance and repairs that do not improve or extend the lives of the respective assets are expensed as incurred. When assets are retired or otherwise disposed of, the cost and related accumulated depreciation are removed from the balance sheets and the resulting gain or loss is reported in other income (expense), net in the period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Internally Developed Software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development costs related to internally developed software projects, including costs incurred in connection with the development of new features added to the Life360 app, the Company capitalizes costs incurred during the application development stage, which begins after the completion of the preliminary project phase and when it is probable that the project will be completed and used as intended. Capitalized costs include personnel and related expenses for employees and fees paid to third-party contractors and vendors directly involved in the development effort. The capitalization of costs stops once the software is substantially complete and ready for its intended use. Costs related to preliminary project activities and post implementation activities are expensed as incurred. Internally developed software is amortized to cost of subscription revenue on a straight-line basis over its estimated useful life, which is generally three years. The Company capitalized $7.0 million, $4.7 million, and $1.7 million during the years ended December 31, 2025, 2024 and 2023, respectively. Capitalized costs are included within intangible assets, net on the consolidated balance sheets.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Lease Obligation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lease right-of-use (“ROU”)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ROU assets also include any prepaid lease payments and lease incentives. ROU assets are assessed for impairment in accordance with ASC 360 whenever events or changes in circumstances indicate the carrying value may not be recoverable. As of December 31, 2025, 2024, 2023, respectively, no impairment expense related to ROU assets has been recognized.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operating lease agreement contains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 includes the option to extend or terminate the lease. The Company generally uses the base, non-cancellable, lease term when recognizing the lease assets and liabilities, unless it is reasonably certain that the renewal option will be exercised.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Company’s operating lease agreement contains tenant improvement allowances from its landlord. These allowances are accounted for as lease incentives and decrease the Company’s ROU asset and reduce single lease cost over the lease term. Refer to Note 7, "Balance Sheet Components" for additional lease disclosures.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Restructuring and Other Charges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Restructuring generally includes significant actions involving employee-related severance charges, facilities consolidation, and contract termination costs. Employee-related severance charges are largely based upon substantive severance plans, while some are mandated requirements in certain foreign jurisdictions. Severance costs generally include severance payments, outplacement services, health insurance coverage, and legal costs. These charges are reflected in the period when both the actions are probable, at the balance sheet date, and the amounts are reasonably estimable.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12, 2023, the Company announced a workforce restructure which resulted in a reduction of the Company’s workforce of approximately 14%. The Company incurred $0.2 million, and $4.0 million in non-recurring personnel and severance related expenses in connection with the restructuring during the years ended December 31, 2024 and 2023 respectively. As of December 31, 2024, all expenses incurred had been paid.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restructuring costs are recognized in the consolidated statements of operations for the years ended December 31, 2024 and 2023 are as follows (in thousands). The Company did not incur non-recurring personnel and severance related expenses during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77" w:type="dxa"/>
        <w:jc w:val="left"/>
        <w:tblInd w:w="0" w:type="dxa"/>
        <w:tblLayout w:type="fixed"/>
        <w:tblCellMar>
          <w:top w:w="28" w:type="dxa"/>
          <w:left w:w="28" w:type="dxa"/>
          <w:bottom w:w="28" w:type="dxa"/>
          <w:right w:w="28" w:type="dxa"/>
        </w:tblCellMar>
      </w:tblPr>
      <w:tblGrid>
        <w:gridCol w:w="886"/>
        <w:gridCol w:w="777"/>
        <w:gridCol w:w="782"/>
        <w:gridCol w:w="145"/>
        <w:gridCol w:w="145"/>
        <w:gridCol w:w="145"/>
        <w:gridCol w:w="282"/>
        <w:gridCol w:w="623"/>
        <w:gridCol w:w="145"/>
        <w:gridCol w:w="145"/>
        <w:gridCol w:w="145"/>
        <w:gridCol w:w="145"/>
        <w:gridCol w:w="282"/>
        <w:gridCol w:w="824"/>
        <w:gridCol w:w="206"/>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Personnel and Severance Related Expenses</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Business Combinations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in a business combination over the fair value of net tangible and intangible assets acquired and reflects benefits from assets not individually identifiable, including anticipated synergies and growth opportunities. Goodwill amounts are not amortized but are tested for impairment annually as of October 31 of each year, or more frequently if indicators of impairment exist. There was no impairment of goodwill during the years ended December 31, 2025, 2024 and 2023.</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Intangible Assets,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including acquired, trade names, customer relationships, acquired developed technology, and internally developed software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years ended December 31, 2025, 2024 and 2023.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Impairment of Long-Lived Assets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years ended December 31, 2025,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Deferred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Deferred revenue also includes balances related to future performance obligations for hardware and other revenue. Amounts anticipated to be recognized within one year of the balance sheet date are recorded as deferred revenue, current; the remaining portion is recorded as deferred revenue, noncurrent in the consolidated balance sheets.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relate to non-marketable equity securities held in privately held companies without readily determinable market values.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non-operating expenses on the Company’s consolidated statements of operations and comprehensive income (loss).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Data Revenue Partner Warrant</w:t>
      </w:r>
    </w:p>
    <w:p>
      <w:pPr>
        <w:pStyle w:val="TextBody"/>
        <w:bidi w:val="0"/>
        <w:spacing w:lineRule="auto" w:line="288" w:before="120" w:after="283"/>
        <w:jc w:val="both"/>
        <w:rPr/>
      </w:pPr>
      <w:r>
        <w:rPr>
          <w:rFonts w:ascii="Times New Roman;serif" w:hAnsi="Times New Roman;serif"/>
          <w:b w:val="false"/>
          <w:color w:val="000000"/>
          <w:sz w:val="20"/>
        </w:rPr>
        <w:t>The Data Revenue Partner Warrant is a non-marketable equity security consisting of a warrant held to purchase shares of preferred stock of a Data Revenue Partner. Refer to the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section above for additional information. In September 2024, an observable price change of the Data Revenue Partner Warrant took place. This resulted in a $5.4 million increase in the investment asset value and a corresponding gain on fair value adjustment recorded in other income (expense), net in the consolidated statements of operations and comprehensive income (loss). There was no gain or loss associated with the Data Revenue Partner Warrant in 2025. The carrying value of the Company’s investment in the Data Revenue Partner Warrant is included in prepaid expenses and other assets, noncurrent in the consolidated balance sheets. As of December 31, 2025 and 2024, the balance was $10.9 million and $10.9 million, respectively.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Related Party Simple Agreement for Future Equity (“SAFE”) Conversion to Related Party Investment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 SAFE with a related party and invested $5.0 million (the “Related Party SAFE”). Under the terms of the SAFE, the Company holds the right to receive equity upon the occurrence of specified future events. For additional information, refer to Note 15, "Related-Party Transactions". In April 2025, the Related Party SAFE was converted into shares of preferred stock in the related party (the “Related Party Investment”). As of December 31, 2024, the Related Party SAFE had a carrying balance of $5.0 million, and as of December 31, 2025, the Related Party Investment had a carrying balance of $5.9 million. Both investments are included in prepaid expenses and other assets, noncurrent on the consolidated balance sheets. Refer to Note 5, "Fair Value Measurements" for additional information on the conversion of the Related Party SAFE to the Related Party Investment.</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Related Party Warrant</w:t>
      </w:r>
    </w:p>
    <w:p>
      <w:pPr>
        <w:pStyle w:val="TextBody"/>
        <w:bidi w:val="0"/>
        <w:spacing w:lineRule="auto" w:line="288" w:before="120" w:after="283"/>
        <w:jc w:val="both"/>
        <w:rPr/>
      </w:pPr>
      <w:r>
        <w:rPr>
          <w:rFonts w:ascii="Times New Roman;serif" w:hAnsi="Times New Roman;serif"/>
          <w:b w:val="false"/>
          <w:color w:val="000000"/>
          <w:sz w:val="20"/>
        </w:rPr>
        <w:t>The Related Party Warrant is a non-marketable equity security consisting of a warrant held to purchase shares of common stock of a related party. Refer to the “Revenue Recognition</w:t>
      </w:r>
      <w:r>
        <w:rPr>
          <w:color w:val="000000"/>
        </w:rPr>
        <w:t xml:space="preserve">” </w:t>
      </w:r>
      <w:r>
        <w:rPr>
          <w:rFonts w:ascii="Times New Roman;serif" w:hAnsi="Times New Roman;serif"/>
          <w:b w:val="false"/>
          <w:color w:val="000000"/>
          <w:sz w:val="20"/>
        </w:rPr>
        <w:t>section above and Note 15, "Related-Party Transactions" for further details. As of December 31, 2025 and 2024, the carrying value of the Company’s investment in the Related Party Warrant is $3.9 million and is included in prepaid expenses and other assets, noncurrent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Convertible Note Investment </w:t>
      </w:r>
    </w:p>
    <w:p>
      <w:pPr>
        <w:pStyle w:val="TextBody"/>
        <w:bidi w:val="0"/>
        <w:spacing w:lineRule="auto" w:line="288" w:before="120" w:after="283"/>
        <w:jc w:val="both"/>
        <w:rPr/>
      </w:pPr>
      <w:r>
        <w:rPr>
          <w:rFonts w:ascii="Times New Roman;serif" w:hAnsi="Times New Roman;serif"/>
          <w:b w:val="false"/>
          <w:color w:val="000000"/>
          <w:sz w:val="20"/>
        </w:rPr>
        <w:t xml:space="preserve">In May 2025, the Company entered into a series of transactions with Aura Consolidated Group, Inc (“Aura”) including (i) a 3-year advertising partnership and revenue sharing agreement intended to expand the Company's other revenue channels and subscription membership offerings, and (ii) a $25.0 million convertible note investment by the Company into Aura (“Convertible Note Investment”). The note bears zero interest and matures on May 12, 2030. The principal is due at maturity and includes both optional and mandatory conversion features, which may result in conversion into the issuer’s equity upon the occurrence of specific events, including financing events, change in control, or at maturity. The Company elected to apply the fair value option in accordance with ASC 825,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 xml:space="preserve">to account for the hybrid instrument as a single financial instrument. As a result, the entire instrument is measured at fair value, with changes in fair value recognized in the consolidated statements of operations and comprehensive income (loss) within other income (expense). The Convertible Note Investment is included within prepaid expenses and other assets, noncurrent on the consolidated balance sheets.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the Convertible Note Investment as Level 3 due to the absence of relevant observable inputs. The fair value of the Convertible Note Investment was estimated using a scenario-based, probability-weighted option pricing model. Significant assumptions include the discount rate as well as the timing and probability weighting of each settlement scenario.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Common Stock Warrants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an equity incentive plan under which various types of equity-based awards are granted. The Plan allows the Company to grant restricted stock units (“RSUs”), which include time-based, performance-based, and market-based restricted stock units, restricted stock, as well as stock options to employees and consultants of the Company and any of the Company’s parent, subsidiaries, or affiliates, and to the members of the Board of Directors.</w:t>
      </w:r>
    </w:p>
    <w:p>
      <w:pPr>
        <w:pStyle w:val="TextBody"/>
        <w:bidi w:val="0"/>
        <w:spacing w:lineRule="auto" w:line="288" w:before="240" w:after="283"/>
        <w:jc w:val="both"/>
        <w:rPr/>
      </w:pPr>
      <w:r>
        <w:rPr>
          <w:rFonts w:ascii="Times New Roman;serif" w:hAnsi="Times New Roman;serif"/>
          <w:b w:val="false"/>
          <w:color w:val="000000"/>
          <w:sz w:val="20"/>
        </w:rPr>
        <w:t>The Company accounts for stock-based compensation in accordance with ASC 718,</w:t>
      </w:r>
      <w:r>
        <w:rPr>
          <w:color w:val="000000"/>
        </w:rPr>
        <w:t xml:space="preserve"> </w:t>
      </w:r>
      <w:r>
        <w:rPr>
          <w:rFonts w:ascii="Times New Roman;serif" w:hAnsi="Times New Roman;serif"/>
          <w:b w:val="false"/>
          <w:i/>
          <w:color w:val="000000"/>
          <w:sz w:val="20"/>
        </w:rPr>
        <w:t xml:space="preserve">Compensation—Stock Compensation, </w:t>
      </w:r>
      <w:r>
        <w:rPr>
          <w:rFonts w:ascii="Times New Roman;serif" w:hAnsi="Times New Roman;serif"/>
          <w:b w:val="false"/>
          <w:color w:val="000000"/>
          <w:sz w:val="20"/>
        </w:rPr>
        <w:t xml:space="preserve">and recognizes stock-based compensation expense based on the grant-date fair value of the awards. The fair value of RSUs and restricted stock awards is based on the fair value of the Company’s common stock on the grant date. For RSUs with market-based vesting conditions, the Company estimates fair value using a Monte Carlo simulation model. The fair value of stock options is determined using the Black-Scholes option pricing model.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is recognized over the requisite service period of the awards, which is generally three to four years. Awards with time-based vesting conditions, including RSUs, restricted stock, and stock options, are recognized on a straight-line basis. Awards with performance-based vesting conditions are recognized using an accelerated attribution method when achievement of the performance condition is considered probable and are reassessed each reporting period. Awards with market-based vesting conditions are recognized over the requisite service period and are not adjusted for actual performance outcomes. The Company accounts for forfeitures as they occur.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13, "Equity Incentive Plan" for further details.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functional currency of the Company’s foreign subsidiary is the respective local currency. Translation adjustments arising from the use of a differing exchange rate from period to period are included in accumulated other comprehensive income (loss) within the consolidated statements of stockholders’ equity. Foreign currency transaction gains and losses are included in other income (expense), net in the consolidated statements of operations and were not material during the years ended December 31, 2025, 2024 or 2023. All assets and liabilities denominated in a foreign currency are translated into U.S. dollars at the exchange rate on the balance sheet date. Revenue and expenses are translated at the average exchange rate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income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must assess the likelihood that the Company’s deferred tax assets will be recovered from future taxable income, and to the extent the Company believes that recovery is not likely, the Company establishes a valuation allowance. To the extent recovery is not considered likely, any previously established valuation allowance is released in the period such determination is made. The assessment of whether a valuation allowance is required often requires significant judgment including current and historical operating results, the forecast of future taxable income and on-going prudent and feasible tax planning initiatives.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penalties related to uncertain tax positions in income tax expense. The Company did not accrue any interest or penalties related to income tax positions during the years ended December 31, 2025, 2024, and 2023.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120" w:after="283"/>
        <w:jc w:val="both"/>
        <w:rPr/>
      </w:pPr>
      <w:r>
        <w:rPr>
          <w:rFonts w:ascii="Times New Roman;serif" w:hAnsi="Times New Roman;serif"/>
          <w:b w:val="false"/>
          <w:color w:val="000000"/>
          <w:sz w:val="20"/>
        </w:rPr>
        <w:t xml:space="preserve">The Company computes basic and diluted net income (loss) per share in conformity with ASC 260,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 xml:space="preserve">Basic net income (loss) per share is calculated by dividing the net income (loss) by the weighted-average number of shares of common stock outstanding during the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income (loss) per share reflects the potential dilution that could occur from securities that may result in the issuance of common stock and is calculated by dividing net income (loss) by the diluted weighted-average number of shares outstanding. Diluted weighted-average shares outstanding include the effect of potential dilutive securities outstanding during the period, including stock options, restricted stock units, warrants, and other similar equity-based securities, which are calculated using the treasury stock method, as well as convertible debt instruments, which are calculated using the if-converted method. Potential common shares are excluded from diluted net income (loss) per share when their effect would be antidilutive.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17, "Net Income (Loss) Per Share"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3. Segment and Geographic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income (loss) and functional expenses as reported on our consolidated statements of operations and comprehensive income (loss). Because the Company operates as one operating segment, financial segment information, including expense and asset information, can be found in the consolidated financial statements. All material long-lived assets are based in the U.S.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geography is generally based on the address of the customer as defined in the contract with the customer. The following table sets forth revenue by geographic region for the periods presented (in thousands):</w:t>
      </w:r>
    </w:p>
    <w:tbl>
      <w:tblPr>
        <w:tblW w:w="6807" w:type="dxa"/>
        <w:jc w:val="left"/>
        <w:tblInd w:w="0" w:type="dxa"/>
        <w:tblLayout w:type="fixed"/>
        <w:tblCellMar>
          <w:top w:w="28" w:type="dxa"/>
          <w:left w:w="28" w:type="dxa"/>
          <w:bottom w:w="28" w:type="dxa"/>
          <w:right w:w="28" w:type="dxa"/>
        </w:tblCellMar>
      </w:tblPr>
      <w:tblGrid>
        <w:gridCol w:w="966"/>
        <w:gridCol w:w="849"/>
        <w:gridCol w:w="855"/>
        <w:gridCol w:w="211"/>
        <w:gridCol w:w="826"/>
        <w:gridCol w:w="109"/>
        <w:gridCol w:w="109"/>
        <w:gridCol w:w="109"/>
        <w:gridCol w:w="109"/>
        <w:gridCol w:w="211"/>
        <w:gridCol w:w="826"/>
        <w:gridCol w:w="109"/>
        <w:gridCol w:w="109"/>
        <w:gridCol w:w="109"/>
        <w:gridCol w:w="109"/>
        <w:gridCol w:w="211"/>
        <w:gridCol w:w="82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 regions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in the U.S. were $415.4 million, or 85%, of total revenue for the year ended December 31, 2025, $318.6 million, or 86%, of total revenue for the year ended December 31, 2024, and $258.5 million, or 85% of total revenue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4. Deferred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roll forward of the Company’s deferred revenue (in thousands):</w:t>
      </w:r>
    </w:p>
    <w:tbl>
      <w:tblPr>
        <w:tblW w:w="5664" w:type="dxa"/>
        <w:jc w:val="left"/>
        <w:tblInd w:w="0" w:type="dxa"/>
        <w:tblLayout w:type="fixed"/>
        <w:tblCellMar>
          <w:top w:w="28" w:type="dxa"/>
          <w:left w:w="28" w:type="dxa"/>
          <w:bottom w:w="28" w:type="dxa"/>
          <w:right w:w="28" w:type="dxa"/>
        </w:tblCellMar>
      </w:tblPr>
      <w:tblGrid>
        <w:gridCol w:w="1164"/>
        <w:gridCol w:w="1021"/>
        <w:gridCol w:w="1025"/>
        <w:gridCol w:w="211"/>
        <w:gridCol w:w="721"/>
        <w:gridCol w:w="109"/>
        <w:gridCol w:w="109"/>
        <w:gridCol w:w="109"/>
        <w:gridCol w:w="109"/>
        <w:gridCol w:w="211"/>
        <w:gridCol w:w="721"/>
        <w:gridCol w:w="154"/>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revenue in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recognized $39.9 million of revenue that was included in the deferred revenue balance as of December 31, 2024. During the year ended December 31, 2024, the Company recognized $33.9 million of revenue that was included in the deferred revenue balance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and reports certain assets and liabilities at fair value on a recurring basis. The fair value of these assets and liabilities as of December 31, 2025 and December 31, 2024 are classified as follows (in thousands): </w:t>
      </w:r>
    </w:p>
    <w:p>
      <w:pPr>
        <w:pStyle w:val="TextBody"/>
        <w:bidi w:val="0"/>
        <w:spacing w:before="0" w:after="0"/>
        <w:jc w:val="both"/>
        <w:rPr/>
      </w:pPr>
      <w:r>
        <w:rPr/>
      </w:r>
    </w:p>
    <w:tbl>
      <w:tblPr>
        <w:tblW w:w="7560" w:type="dxa"/>
        <w:jc w:val="left"/>
        <w:tblInd w:w="0" w:type="dxa"/>
        <w:tblLayout w:type="fixed"/>
        <w:tblCellMar>
          <w:top w:w="28" w:type="dxa"/>
          <w:left w:w="28" w:type="dxa"/>
          <w:bottom w:w="28" w:type="dxa"/>
          <w:right w:w="28" w:type="dxa"/>
        </w:tblCellMar>
      </w:tblPr>
      <w:tblGrid>
        <w:gridCol w:w="894"/>
        <w:gridCol w:w="785"/>
        <w:gridCol w:w="796"/>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39" w:type="dxa"/>
            <w:gridSpan w:val="18"/>
            <w:tcBorders/>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6570" w:type="dxa"/>
        <w:jc w:val="left"/>
        <w:tblInd w:w="0" w:type="dxa"/>
        <w:tblLayout w:type="fixed"/>
        <w:tblCellMar>
          <w:top w:w="28" w:type="dxa"/>
          <w:left w:w="28" w:type="dxa"/>
          <w:bottom w:w="28" w:type="dxa"/>
          <w:right w:w="28" w:type="dxa"/>
        </w:tblCellMar>
      </w:tblPr>
      <w:tblGrid>
        <w:gridCol w:w="650"/>
        <w:gridCol w:w="571"/>
        <w:gridCol w:w="57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the Level 3 instruments were as follows (in thousands): </w:t>
      </w:r>
    </w:p>
    <w:tbl>
      <w:tblPr>
        <w:tblW w:w="5211" w:type="dxa"/>
        <w:jc w:val="left"/>
        <w:tblInd w:w="0" w:type="dxa"/>
        <w:tblLayout w:type="fixed"/>
        <w:tblCellMar>
          <w:top w:w="28" w:type="dxa"/>
          <w:left w:w="28" w:type="dxa"/>
          <w:bottom w:w="28" w:type="dxa"/>
          <w:right w:w="28" w:type="dxa"/>
        </w:tblCellMar>
      </w:tblPr>
      <w:tblGrid>
        <w:gridCol w:w="999"/>
        <w:gridCol w:w="878"/>
        <w:gridCol w:w="882"/>
        <w:gridCol w:w="443"/>
        <w:gridCol w:w="1517"/>
        <w:gridCol w:w="22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Convertible Note Investment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beginning of the year</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Initial investment</w:t>
            </w:r>
          </w:p>
        </w:tc>
        <w:tc>
          <w:tcPr>
            <w:tcW w:w="1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1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72"/>
        <w:gridCol w:w="1889"/>
        <w:gridCol w:w="1897"/>
        <w:gridCol w:w="253"/>
        <w:gridCol w:w="487"/>
        <w:gridCol w:w="131"/>
        <w:gridCol w:w="116"/>
        <w:gridCol w:w="116"/>
        <w:gridCol w:w="116"/>
        <w:gridCol w:w="738"/>
        <w:gridCol w:w="1421"/>
        <w:gridCol w:w="383"/>
        <w:gridCol w:w="109"/>
        <w:gridCol w:w="109"/>
        <w:gridCol w:w="109"/>
        <w:gridCol w:w="159"/>
      </w:tblGrid>
      <w:tr>
        <w:trPr/>
        <w:tc>
          <w:tcPr>
            <w:tcW w:w="2172"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Liability</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2021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beginning of the year</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September 2021 Convertible Notes upon conversion (Note 8)</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settlement of September 2021 Convertible Notes (Note 8)</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settlement of derivative liability (Note 9)</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recorded a loss associated with the change in fair value of the Convertible Note Investment of $0.3 million. The amounts have been recorded in other income (expense), net in the consolidated statement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Company recorded a loss associated with the change in fair value of the derivative liability of $1.7 million and a gain related to the settlement of the derivative liability upon conversion of the July 2021 Convertible Notes of $1.9 million. For the year ended December 31, 2024, the Company recorded a loss associated with the change in fair value of the September 2021 Convertible Notes of $0.6 million and a gain related to the settlement of the September 2021 Convertible Notes upon conversion of $0.5 million. The amounts have been recorded in other income (expense), net in the consolidated statement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2025, a related party completed a qualified equity financing and the Related Party SAFE was converted into the Related Party Investment. The conversion resulted in an observable price change based on the financing round for identical preferred shares. As a result, a $0.9 million gain on the change in the fair value of the investment was recorded within other income (expense), net on the consolidated statements of operations and comprehensive income (loss) for the year ended December 31, 2025. The Related Party Investment is classified within Level 2 of the fair value hierarchy as the valuation is based on an observable price for identical shares that are not readily determinable. The Related Party Investment balance as of December 31, 2025 was $5.9 million and is included within prepaid expenses and other assets, noncurrent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6. Business Combinations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Fantix,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27, 2025, the Company entered into an Asset Purchase Agreement with Fantix, Inc., to purchase certain assets of Fantix, Inc. for total consideration of $4.5 million, consisting of $3.5 million in cash and $1.0 million in common stock. Of the $3.5 million in cash consideration, $2.8 million was paid at closing and $0.7 million, which is payable one year from the closing date, has been recorded in accrued expenses and other current liabilities on the Company’s consolidated balance sheet. The transaction has been accounted for as a business combination.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recorded $3.6 million to intangible assets, net and $0.9 million to goodwill. Goodwill represents the excess of the purchase price over the fair value of net assets acquired and reflects benefits from assets not individually identifiable, including anticipated synergies and growth opportunities. The goodwill is not deductible for tax purposes.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not presented the pro forma results of operations for the Fantix, Inc. acquisition as the impact is not material to the Company’s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7. Balance Sheet Components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Accounts receivable,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consists of the following (in thousands): </w:t>
      </w:r>
    </w:p>
    <w:tbl>
      <w:tblPr>
        <w:tblW w:w="5004" w:type="dxa"/>
        <w:jc w:val="left"/>
        <w:tblInd w:w="0" w:type="dxa"/>
        <w:tblLayout w:type="fixed"/>
        <w:tblCellMar>
          <w:top w:w="28" w:type="dxa"/>
          <w:left w:w="28" w:type="dxa"/>
          <w:bottom w:w="28" w:type="dxa"/>
          <w:right w:w="28" w:type="dxa"/>
        </w:tblCellMar>
      </w:tblPr>
      <w:tblGrid>
        <w:gridCol w:w="924"/>
        <w:gridCol w:w="811"/>
        <w:gridCol w:w="815"/>
        <w:gridCol w:w="211"/>
        <w:gridCol w:w="721"/>
        <w:gridCol w:w="109"/>
        <w:gridCol w:w="109"/>
        <w:gridCol w:w="109"/>
        <w:gridCol w:w="109"/>
        <w:gridCol w:w="211"/>
        <w:gridCol w:w="7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net is presented net of the allowance for credit losses, which represents management’s estimate of expected credit losses based on historical trends, current economic conditions, and other relevant factors as of December 31, 2025 and 2024,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consists of the following (in thousands): </w:t>
      </w:r>
    </w:p>
    <w:tbl>
      <w:tblPr>
        <w:tblW w:w="3639" w:type="dxa"/>
        <w:jc w:val="left"/>
        <w:tblInd w:w="0" w:type="dxa"/>
        <w:tblLayout w:type="fixed"/>
        <w:tblCellMar>
          <w:top w:w="28" w:type="dxa"/>
          <w:left w:w="28" w:type="dxa"/>
          <w:bottom w:w="28" w:type="dxa"/>
          <w:right w:w="28" w:type="dxa"/>
        </w:tblCellMar>
      </w:tblPr>
      <w:tblGrid>
        <w:gridCol w:w="505"/>
        <w:gridCol w:w="443"/>
        <w:gridCol w:w="447"/>
        <w:gridCol w:w="211"/>
        <w:gridCol w:w="616"/>
        <w:gridCol w:w="109"/>
        <w:gridCol w:w="109"/>
        <w:gridCol w:w="109"/>
        <w:gridCol w:w="109"/>
        <w:gridCol w:w="211"/>
        <w:gridCol w:w="61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inventory write-offs recorded for the years ended December 31, 2025 and 2024. The Company recorded a raw materials inventory write-off of $0.9 million for the year ended December 31, 2023. The write-off resulted from a discontinuation of a product line in the Company’s product roadmap where the raw materials had no alternative use.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Prepaid Expenses and Other Current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consist of the following (in thousands): </w:t>
      </w:r>
    </w:p>
    <w:tbl>
      <w:tblPr>
        <w:tblW w:w="6383" w:type="dxa"/>
        <w:jc w:val="left"/>
        <w:tblInd w:w="0" w:type="dxa"/>
        <w:tblLayout w:type="fixed"/>
        <w:tblCellMar>
          <w:top w:w="28" w:type="dxa"/>
          <w:left w:w="28" w:type="dxa"/>
          <w:bottom w:w="28" w:type="dxa"/>
          <w:right w:w="28" w:type="dxa"/>
        </w:tblCellMar>
      </w:tblPr>
      <w:tblGrid>
        <w:gridCol w:w="1423"/>
        <w:gridCol w:w="1248"/>
        <w:gridCol w:w="1258"/>
        <w:gridCol w:w="211"/>
        <w:gridCol w:w="721"/>
        <w:gridCol w:w="109"/>
        <w:gridCol w:w="109"/>
        <w:gridCol w:w="109"/>
        <w:gridCol w:w="109"/>
        <w:gridCol w:w="211"/>
        <w:gridCol w:w="72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primarily consist of advance payments for certain cloud platform costs, advertising, information technology solutions, insurance, and inventory. Other receivables primarily consist of refunds owed to the Company and other amounts which the Company is expected to receive in less than twelve months.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consists of the following (in thousands): </w:t>
      </w:r>
    </w:p>
    <w:tbl>
      <w:tblPr>
        <w:tblW w:w="5408" w:type="dxa"/>
        <w:jc w:val="left"/>
        <w:tblInd w:w="0" w:type="dxa"/>
        <w:tblLayout w:type="fixed"/>
        <w:tblCellMar>
          <w:top w:w="28" w:type="dxa"/>
          <w:left w:w="28" w:type="dxa"/>
          <w:bottom w:w="28" w:type="dxa"/>
          <w:right w:w="28" w:type="dxa"/>
        </w:tblCellMar>
      </w:tblPr>
      <w:tblGrid>
        <w:gridCol w:w="1146"/>
        <w:gridCol w:w="1005"/>
        <w:gridCol w:w="1013"/>
        <w:gridCol w:w="211"/>
        <w:gridCol w:w="616"/>
        <w:gridCol w:w="109"/>
        <w:gridCol w:w="109"/>
        <w:gridCol w:w="109"/>
        <w:gridCol w:w="109"/>
        <w:gridCol w:w="211"/>
        <w:gridCol w:w="61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manufacturing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Construction in progress relates to certain costs incurred with production manufacturing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$0.4 million, $0.3 million, and $0.1 million for the years ended December 31, 2025, 2024, and 2023, respectively.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Prepaid Expenses and Other Assets, noncurrent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assets, noncurrent consist of the following (in thousands): </w:t>
      </w:r>
    </w:p>
    <w:tbl>
      <w:tblPr>
        <w:tblW w:w="6743" w:type="dxa"/>
        <w:jc w:val="left"/>
        <w:tblInd w:w="0" w:type="dxa"/>
        <w:tblLayout w:type="fixed"/>
        <w:tblCellMar>
          <w:top w:w="28" w:type="dxa"/>
          <w:left w:w="28" w:type="dxa"/>
          <w:bottom w:w="28" w:type="dxa"/>
          <w:right w:w="28" w:type="dxa"/>
        </w:tblCellMar>
      </w:tblPr>
      <w:tblGrid>
        <w:gridCol w:w="1552"/>
        <w:gridCol w:w="1366"/>
        <w:gridCol w:w="1371"/>
        <w:gridCol w:w="211"/>
        <w:gridCol w:w="721"/>
        <w:gridCol w:w="109"/>
        <w:gridCol w:w="109"/>
        <w:gridCol w:w="109"/>
        <w:gridCol w:w="109"/>
        <w:gridCol w:w="211"/>
        <w:gridCol w:w="721"/>
        <w:gridCol w:w="154"/>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noncurrent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Revenue Partner Warrant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Related Party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Related Party Warrant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Related Party SAFE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assets, noncurrent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noncurrent primarily consist of cloud platform costs. As of December 31, 2025, other assets consists of investments, including the Convertible Note Investment, Data Revenue Partner Warrant, Related Party Investment, and Related Party Warrant. As of December 31, 2024, investments relate to the Data Revenue Partner Warrant, the Related Party Warrant, and the Related Party SAFE. Refer to Note 2, "Summary of Significant Accounting Policies" for additional information.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under a non-cancelable operating lease with a remaining lease term of up to 0.9 years, which includes the option to extend the 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finance leases as of December 31, 2025 or December 31,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costs were as follows (in thousands): </w:t>
      </w:r>
    </w:p>
    <w:tbl>
      <w:tblPr>
        <w:tblW w:w="5082" w:type="dxa"/>
        <w:jc w:val="left"/>
        <w:tblInd w:w="0" w:type="dxa"/>
        <w:tblLayout w:type="fixed"/>
        <w:tblCellMar>
          <w:top w:w="28" w:type="dxa"/>
          <w:left w:w="28" w:type="dxa"/>
          <w:bottom w:w="28" w:type="dxa"/>
          <w:right w:w="28" w:type="dxa"/>
        </w:tblCellMar>
      </w:tblPr>
      <w:tblGrid>
        <w:gridCol w:w="733"/>
        <w:gridCol w:w="644"/>
        <w:gridCol w:w="648"/>
        <w:gridCol w:w="211"/>
        <w:gridCol w:w="466"/>
        <w:gridCol w:w="109"/>
        <w:gridCol w:w="109"/>
        <w:gridCol w:w="109"/>
        <w:gridCol w:w="109"/>
        <w:gridCol w:w="211"/>
        <w:gridCol w:w="466"/>
        <w:gridCol w:w="109"/>
        <w:gridCol w:w="109"/>
        <w:gridCol w:w="109"/>
        <w:gridCol w:w="109"/>
        <w:gridCol w:w="211"/>
        <w:gridCol w:w="46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Amounts include short-term leases, which are immaterial.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payments for operating leases included in cash from operating activities were $0.4 million, $0.4 million and $0.9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 except lease term):</w:t>
      </w:r>
    </w:p>
    <w:p>
      <w:pPr>
        <w:pStyle w:val="TextBody"/>
        <w:bidi w:val="0"/>
        <w:spacing w:before="0" w:after="0"/>
        <w:jc w:val="both"/>
        <w:rPr/>
      </w:pPr>
      <w:r>
        <w:rPr/>
      </w:r>
    </w:p>
    <w:tbl>
      <w:tblPr>
        <w:tblW w:w="9489" w:type="dxa"/>
        <w:jc w:val="left"/>
        <w:tblInd w:w="0" w:type="dxa"/>
        <w:tblLayout w:type="fixed"/>
        <w:tblCellMar>
          <w:top w:w="28" w:type="dxa"/>
          <w:left w:w="28" w:type="dxa"/>
          <w:bottom w:w="28" w:type="dxa"/>
          <w:right w:w="28" w:type="dxa"/>
        </w:tblCellMar>
      </w:tblPr>
      <w:tblGrid>
        <w:gridCol w:w="2733"/>
        <w:gridCol w:w="2399"/>
        <w:gridCol w:w="2413"/>
        <w:gridCol w:w="211"/>
        <w:gridCol w:w="466"/>
        <w:gridCol w:w="109"/>
        <w:gridCol w:w="109"/>
        <w:gridCol w:w="109"/>
        <w:gridCol w:w="109"/>
        <w:gridCol w:w="211"/>
        <w:gridCol w:w="466"/>
        <w:gridCol w:w="154"/>
      </w:tblGrid>
      <w:tr>
        <w:trPr/>
        <w:tc>
          <w:tcPr>
            <w:tcW w:w="2733"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 (included in accrued expenses and other current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 (included in other liabilities, noncurrent)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for operating lease (in years)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discount rate used to measure the present value of the operating lease liabilities was 5.0% for each period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Maturities of the Company’s operating lease liabilities as of December 31, 2025, were as follows (in thousands): </w:t>
      </w:r>
    </w:p>
    <w:tbl>
      <w:tblPr>
        <w:tblW w:w="4530" w:type="dxa"/>
        <w:jc w:val="left"/>
        <w:tblInd w:w="0" w:type="dxa"/>
        <w:tblLayout w:type="fixed"/>
        <w:tblCellMar>
          <w:top w:w="28" w:type="dxa"/>
          <w:left w:w="28" w:type="dxa"/>
          <w:bottom w:w="28" w:type="dxa"/>
          <w:right w:w="28" w:type="dxa"/>
        </w:tblCellMar>
      </w:tblPr>
      <w:tblGrid>
        <w:gridCol w:w="1150"/>
        <w:gridCol w:w="1009"/>
        <w:gridCol w:w="1020"/>
        <w:gridCol w:w="343"/>
        <w:gridCol w:w="757"/>
        <w:gridCol w:w="251"/>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Goodwill and Intangible Assets,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consists of the following (in thousands): </w:t>
      </w:r>
    </w:p>
    <w:p>
      <w:pPr>
        <w:pStyle w:val="TextBody"/>
        <w:bidi w:val="0"/>
        <w:spacing w:before="0" w:after="0"/>
        <w:jc w:val="left"/>
        <w:rPr/>
      </w:pPr>
      <w:r>
        <w:rPr/>
      </w:r>
    </w:p>
    <w:tbl>
      <w:tblPr>
        <w:tblW w:w="7385" w:type="dxa"/>
        <w:jc w:val="left"/>
        <w:tblInd w:w="0" w:type="dxa"/>
        <w:tblLayout w:type="fixed"/>
        <w:tblCellMar>
          <w:top w:w="28" w:type="dxa"/>
          <w:left w:w="28" w:type="dxa"/>
          <w:bottom w:w="28" w:type="dxa"/>
          <w:right w:w="28" w:type="dxa"/>
        </w:tblCellMar>
      </w:tblPr>
      <w:tblGrid>
        <w:gridCol w:w="913"/>
        <w:gridCol w:w="803"/>
        <w:gridCol w:w="818"/>
        <w:gridCol w:w="211"/>
        <w:gridCol w:w="721"/>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385" w:type="dxa"/>
        <w:jc w:val="left"/>
        <w:tblInd w:w="0" w:type="dxa"/>
        <w:tblLayout w:type="fixed"/>
        <w:tblCellMar>
          <w:top w:w="28" w:type="dxa"/>
          <w:left w:w="28" w:type="dxa"/>
          <w:bottom w:w="28" w:type="dxa"/>
          <w:right w:w="28" w:type="dxa"/>
        </w:tblCellMar>
      </w:tblPr>
      <w:tblGrid>
        <w:gridCol w:w="913"/>
        <w:gridCol w:w="803"/>
        <w:gridCol w:w="818"/>
        <w:gridCol w:w="211"/>
        <w:gridCol w:w="721"/>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(27,602)</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capitalized $7.0 million and $4.7 million, respectively, in internally developed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amortization expense was $12.9 million, $9.5 million, and $9.0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estimated remaining amortization expense for intangible assets by fiscal year is as follows (in thousands): </w:t>
      </w:r>
    </w:p>
    <w:tbl>
      <w:tblPr>
        <w:tblW w:w="5061" w:type="dxa"/>
        <w:jc w:val="left"/>
        <w:tblInd w:w="0" w:type="dxa"/>
        <w:tblLayout w:type="fixed"/>
        <w:tblCellMar>
          <w:top w:w="28" w:type="dxa"/>
          <w:left w:w="28" w:type="dxa"/>
          <w:bottom w:w="28" w:type="dxa"/>
          <w:right w:w="28" w:type="dxa"/>
        </w:tblCellMar>
      </w:tblPr>
      <w:tblGrid>
        <w:gridCol w:w="1434"/>
        <w:gridCol w:w="1259"/>
        <w:gridCol w:w="1282"/>
        <w:gridCol w:w="211"/>
        <w:gridCol w:w="721"/>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not yet in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useful lives of the Company’s acquired intangible assets are as follows:</w:t>
      </w:r>
    </w:p>
    <w:p>
      <w:pPr>
        <w:pStyle w:val="TextBody"/>
        <w:bidi w:val="0"/>
        <w:spacing w:before="0" w:after="0"/>
        <w:jc w:val="left"/>
        <w:rPr/>
      </w:pPr>
      <w:r>
        <w:rPr/>
      </w:r>
    </w:p>
    <w:tbl>
      <w:tblPr>
        <w:tblW w:w="5698" w:type="dxa"/>
        <w:jc w:val="left"/>
        <w:tblInd w:w="0" w:type="dxa"/>
        <w:tblLayout w:type="fixed"/>
        <w:tblCellMar>
          <w:top w:w="28" w:type="dxa"/>
          <w:left w:w="28" w:type="dxa"/>
          <w:bottom w:w="28" w:type="dxa"/>
          <w:right w:w="28" w:type="dxa"/>
        </w:tblCellMar>
      </w:tblPr>
      <w:tblGrid>
        <w:gridCol w:w="913"/>
        <w:gridCol w:w="803"/>
        <w:gridCol w:w="818"/>
        <w:gridCol w:w="336"/>
        <w:gridCol w:w="336"/>
        <w:gridCol w:w="336"/>
        <w:gridCol w:w="336"/>
        <w:gridCol w:w="336"/>
        <w:gridCol w:w="336"/>
        <w:gridCol w:w="336"/>
        <w:gridCol w:w="336"/>
        <w:gridCol w:w="476"/>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 years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 had $2.8 million and $0.9 million of capitalized internally developed software projects that were not yet in service, respectively. These projects have been excluded from the weighted-average remaining useful life calculation for internally developed software in the table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goodwill was $134.6 million and $133.7 million, respectively. Goodwill increased $0.9 million in connection with the Fantix, Inc. acquisition. Refer to Note 6, "Business Combinations" for additional information.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and Other Current Liabilities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consist of the following (in thousands): </w:t>
      </w:r>
    </w:p>
    <w:tbl>
      <w:tblPr>
        <w:tblW w:w="6714" w:type="dxa"/>
        <w:jc w:val="left"/>
        <w:tblInd w:w="0" w:type="dxa"/>
        <w:tblLayout w:type="fixed"/>
        <w:tblCellMar>
          <w:top w:w="28" w:type="dxa"/>
          <w:left w:w="28" w:type="dxa"/>
          <w:bottom w:w="28" w:type="dxa"/>
          <w:right w:w="28" w:type="dxa"/>
        </w:tblCellMar>
      </w:tblPr>
      <w:tblGrid>
        <w:gridCol w:w="1543"/>
        <w:gridCol w:w="1353"/>
        <w:gridCol w:w="1364"/>
        <w:gridCol w:w="211"/>
        <w:gridCol w:w="721"/>
        <w:gridCol w:w="109"/>
        <w:gridCol w:w="109"/>
        <w:gridCol w:w="109"/>
        <w:gridCol w:w="109"/>
        <w:gridCol w:w="211"/>
        <w:gridCol w:w="721"/>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promotions and discounts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other current liabilities primarily relate to the Company’s deferred purchase price liability related to the Fantix, Inc. acquisition, inventory received but not yet billed, and sales taxes payable. As of December 31, 2024, other current liabilities primarily relate to the operating lease liability and sales tax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8. Convertible Notes</w:t>
      </w:r>
    </w:p>
    <w:p>
      <w:pPr>
        <w:pStyle w:val="TextBody"/>
        <w:bidi w:val="0"/>
        <w:spacing w:lineRule="auto" w:line="288" w:before="12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June 2025 Convertible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2025, the Company issued $320.0 million aggregate principal amount of 0.00% convertible senior notes due June 1, 2030. The June 2025 Convertible Notes are senior unsecured obligations and do not bear regular interest. Each $1,000 principal amount of the notes is initially convertible into 12.3501 shares of the Company’s common stock, which represents a conversion price of approximately $80.97 per share, subject to adjustment upon the occurrence of specified events. In certain circumstances, including conversions in connection with a make-whole fundamental change, the conversion rate may be increased, resulting in a conversion price as low as $61.11. However, the maximum number of shares issuable per $1,000 principal amount is capped at 16.3639, which is subject to the same adjustment provisions as the initial conversion 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June 2025 Convertible Notes are convertible at the option of the holders prior to the close of business on the business day immediately preceding March 1, 2030, only under the following circumstances: (1) during any fiscal quarter (and only during such quarter) beginning after September 30, 2025, if the closing price of the Company’s common stock for at least 20 trading days in any 30 consecutive trading day period ending on the last trading day of the prior fiscal quarter is greater than or equal to 130% of the then-applicable conversion price; (2) during the five business days immediately following any 10 consecutive trading day period in which the trading price per $1,000 principal amount of notes was less than 98% of the product of the closing price of the Company’s common stock and the conversion rate on each applicable trading day, following a request for such determination by a holder; (3) if the Company calls the notes for redemption, at any time prior to the close of business on the second scheduled trading day immediately preceding the redemption date; or (4) upon the occurrence of specified corporate events, such as certain mergers, reorganizations, or other changes of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June 2025 Convertible Notes are convertible at the option of the holders on or after March 1, 2030, at any time prior to the close of business on the second scheduled trading day prior to the maturity date. Upon conversion, the Company will settle the principal portion of any June 2025 Convertible Notes in cash. Any amounts due on conversion over the principal portion may be settled, at the Company’s election, in cash, shares of common stock, or a combination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June 2025 Convertible Notes prior to June 5, 2028. On or after that date, the Company may redeem all or a portion of the notes for cash if the closing price of the Company’s common stock has been at least 130% of the conversion price then in effect for at least 20 trading days (whether or not consecutive) during a 30 consecutive trading day period ending on the trading day immediately preceding the date on which the Company provides notice of redemption. The redemption price will equal the principal amount of the notes to be redeemed, plus any accrued and unpaid interest up to, but excluding,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which includes certain change-of-control transactions, a delisting of the Company’s common stock, or a liquidation event, holders may require the Company to repurchase up to 100% of their notes, plus accrued and unpaid special interest, if any, to, but excluding, the fundamental change repurchase date for cash.</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the June 2025 Convertible Notes entirely as a liability in accordance with ASC 470-20, </w:t>
      </w:r>
      <w:r>
        <w:rPr>
          <w:rFonts w:ascii="Times New Roman;serif" w:hAnsi="Times New Roman;serif"/>
          <w:b w:val="false"/>
          <w:i/>
          <w:color w:val="000000"/>
          <w:sz w:val="20"/>
        </w:rPr>
        <w:t>Debt with Conversion and Other Options,</w:t>
      </w:r>
      <w:r>
        <w:rPr>
          <w:color w:val="000000"/>
        </w:rPr>
        <w:t xml:space="preserve"> </w:t>
      </w:r>
      <w:r>
        <w:rPr>
          <w:rFonts w:ascii="Times New Roman;serif" w:hAnsi="Times New Roman;serif"/>
          <w:b w:val="false"/>
          <w:color w:val="000000"/>
          <w:sz w:val="20"/>
        </w:rPr>
        <w:t>as amended by ASU 2020-06. The embedded conversion feature is not separately accounted for as it does not require bifurcation under ASC 815,</w:t>
      </w:r>
      <w:r>
        <w:rPr>
          <w:color w:val="000000"/>
        </w:rPr>
        <w:t xml:space="preserve">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it is considered clearly and closely related to the host debt contract and does not meet the criteria for derivative accounting. The notes were issued at par and are recorded net of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June 2025 Convertible Notes are classified as noncurrent as the conditions allowing holders of the notes to convert have not been met and the notes are not redeemable until June 5, 2028. The balance has been recorded within convertible notes, net, noncurrent on the Company’s consolidated balance sheet.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June 2025 Convertible Notes consists of the following (in thousands):</w:t>
      </w:r>
    </w:p>
    <w:tbl>
      <w:tblPr>
        <w:tblW w:w="4319" w:type="dxa"/>
        <w:jc w:val="left"/>
        <w:tblInd w:w="0" w:type="dxa"/>
        <w:tblLayout w:type="fixed"/>
        <w:tblCellMar>
          <w:top w:w="28" w:type="dxa"/>
          <w:left w:w="28" w:type="dxa"/>
          <w:bottom w:w="28" w:type="dxa"/>
          <w:right w:w="28" w:type="dxa"/>
        </w:tblCellMar>
      </w:tblPr>
      <w:tblGrid>
        <w:gridCol w:w="999"/>
        <w:gridCol w:w="877"/>
        <w:gridCol w:w="884"/>
        <w:gridCol w:w="276"/>
        <w:gridCol w:w="1082"/>
        <w:gridCol w:w="201"/>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310,386 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debt issuance costs are amortized to interest expense over the term of the June 2025 Convertible Notes using the effective interest rate method. The effective interest rate used to amortize the debt issuance costs is 0.68%. Interest expense recognized related to the June 2025 Convertible Notes was $1.3 million for the year ended December 31, 2025. Interest expense is included within other income (expense), net on the consolidated statements of operations and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June 2025 Convertible Notes, which we classify as Level 2 financial instruments, was determined using observable market prices. As of December 31, 2025, the estimated fair value of the June 2025 Convertible Notes was $343.2 million.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June 2025 Capped Calls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pricing of the June 2025 Convertible Notes, the Company entered into privately-negotiated capped call transactions with certain dealer counterparties (the “June 2025 Capped Calls”). The June 2025 Capped Calls have an initial strike price of approximately $80.97 per share, which corresponds to the initial conversion price of the June 2025 Convertible Notes and is subject to certain adjustments. The June 2025 Capped Calls have a cap price of $122.22 per share, which is also subject to certain adjustments. The $33.7 million cost incurred in connection with the June 2025 Capped Calls was recorded as a reduction to Additional paid-in capital on the Company’s consolidated balance sheet. This was partially offset by an $8.0 million increase to Additional paid-in capital related to the release of the associated valuation allowance as of December 31, 2025. Conditions triggering adjustments to the initial strike price and the initial cap price of these capped calls are similar to those causing adjustments for the June 2025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 June 2025 Capped Calls are intended to reduce or offset potential dilution to our common stock upon any conversion of the June 2025 Convertible Notes, with this reduction or offset subject to the specified cap price. The June 2025 Capped Calls are separate transactions, and are not part of the terms of the June 2025 Convertible Notes. These transactions are classified as equity in accordance with ASC 815,</w:t>
      </w:r>
      <w:r>
        <w:rPr>
          <w:color w:val="000000"/>
        </w:rPr>
        <w:t xml:space="preserve">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 they are (i) indexed to the Company’s own stock, (ii) settled in shares or permitted net-share settlement, and (iii) do not require net cash settlement. As such, the June 2025 Capped Calls have been recorded within stockholders’ equity and are not accounted for as derivatives.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July 2021 Convertible Notes</w:t>
      </w:r>
    </w:p>
    <w:p>
      <w:pPr>
        <w:pStyle w:val="TextBody"/>
        <w:bidi w:val="0"/>
        <w:spacing w:lineRule="auto" w:line="288" w:before="120" w:after="283"/>
        <w:jc w:val="both"/>
        <w:rPr/>
      </w:pPr>
      <w:r>
        <w:rPr>
          <w:rFonts w:ascii="Times New Roman;serif" w:hAnsi="Times New Roman;serif"/>
          <w:b w:val="false"/>
          <w:color w:val="000000"/>
          <w:sz w:val="20"/>
        </w:rPr>
        <w:t>In July 2021, the Company issued the July 2021 Convertible Notes to investors with an underlying principal amount of $2.1 million. In June 2024, the July 2021 Convertible Notes were converted to common stock based on a fixed conversion price of $11.96 per share. At the time of conversion, the July 2021 Convertible Notes had an outstanding principal and accrued interest balance of $2.2 million. As a result of the conversion, 184,192 shares of common stock were issued to the holders in redemption of the outstanding July 2021 Convertible Notes. In June 2024, the fair value of the issued common stock was recorded within additional paid-in capital on the Company’s consolidated balance sheet and a $0.9 million</w:t>
      </w:r>
      <w:r>
        <w:rPr>
          <w:color w:val="000000"/>
        </w:rPr>
        <w:t xml:space="preserve"> </w:t>
      </w:r>
      <w:r>
        <w:rPr>
          <w:rFonts w:ascii="Times New Roman;serif" w:hAnsi="Times New Roman;serif"/>
          <w:b w:val="false"/>
          <w:color w:val="000000"/>
          <w:sz w:val="20"/>
        </w:rPr>
        <w:t xml:space="preserve">loss on the settlement of the July 2021 Convertible Notes was recorded in other income (expense), net on the consolidated statements of operations and comprehensive income (loss). As of December 31, 2025 and 2024, the balance of the July 2021 Convertible Notes is zero on the Company’s consolidated balance sheets.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a total of zero, $0.1 million, and $0.4 million in non-cash interest expense related to the July 2021 Convertible Notes for the years ended December 31, 2025, 2024, and 2023, respectively.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September 2021 Convertible Notes</w:t>
      </w:r>
    </w:p>
    <w:p>
      <w:pPr>
        <w:pStyle w:val="TextBody"/>
        <w:bidi w:val="0"/>
        <w:spacing w:lineRule="auto" w:line="288" w:before="120" w:after="283"/>
        <w:jc w:val="both"/>
        <w:rPr/>
      </w:pPr>
      <w:r>
        <w:rPr>
          <w:rFonts w:ascii="Times New Roman;serif" w:hAnsi="Times New Roman;serif"/>
          <w:b w:val="false"/>
          <w:color w:val="000000"/>
          <w:sz w:val="20"/>
        </w:rPr>
        <w:t>In September 2021, the Company issued $11.6 million representing the fair value of convertible notes (the “September 2021 Convertible Notes”) and $1.6 million of revesting convertible notes that vested over time. In April 2024, the holders of the September 2021 Convertible Notes elected to convert their notes and accrued interest to common stock based on a fixed conversion price of $22.50 per share. At the time of conversion, the September 2021 Convertible Notes had an outstanding principal and accrued interest balance of $3.5 million. As a result of the conversion, 157,685 shares of common stock with a fair value of $3.5 million were issued to the holders in redemption of the outstanding September 2021 Convertible Notes. In April 2024, the fair value of the issued common stock was recorded within additional paid-in capital on the Company’s consolidated balance sheet and a $0.5 million</w:t>
      </w:r>
      <w:r>
        <w:rPr>
          <w:color w:val="000000"/>
        </w:rPr>
        <w:t xml:space="preserve"> </w:t>
      </w:r>
      <w:r>
        <w:rPr>
          <w:rFonts w:ascii="Times New Roman;serif" w:hAnsi="Times New Roman;serif"/>
          <w:b w:val="false"/>
          <w:color w:val="000000"/>
          <w:sz w:val="20"/>
        </w:rPr>
        <w:t>gain on settlement of the September 2021 Convertible Notes was recorded in other income (expense), net on the consolidated statements of operations and comprehensive income (loss). As of December 31, 2025 and 2024, the balance of the September 2021 Convertible Notes is zero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9. Derivative Liability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derivative liability, which represented embedded share-settled redemption features bifurcated from its July 2021 Convertible Notes, was settled in June 2024 upon the conversion of the July 2021 Convertible Notes to common stock based on a fixed conversion price of $11.96 per share. A $1.9 million gain was recorded at the time of conversion within other income (expense), net on the consolidated statements of operations and comprehensive income (loss) for the year ended December 31, 2024. As of December 31, 2025 and 2024, the fair value of the derivative liability was zero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contractual commitments with our cloud platform provider and contract manufacturer that are non-cancellable. As of December 31, 2025, future non-cancellable commitments under these arrangements were as follows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546" w:type="dxa"/>
        <w:jc w:val="left"/>
        <w:tblInd w:w="0" w:type="dxa"/>
        <w:tblLayout w:type="fixed"/>
        <w:tblCellMar>
          <w:top w:w="28" w:type="dxa"/>
          <w:left w:w="28" w:type="dxa"/>
          <w:bottom w:w="28" w:type="dxa"/>
          <w:right w:w="28" w:type="dxa"/>
        </w:tblCellMar>
      </w:tblPr>
      <w:tblGrid>
        <w:gridCol w:w="890"/>
        <w:gridCol w:w="781"/>
        <w:gridCol w:w="789"/>
        <w:gridCol w:w="211"/>
        <w:gridCol w:w="7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Indemnification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date, the Company has not incurred significant costs and has not accrued any material liabilities in the accompanying consolidated financial statements as a result of its indemnification obligations.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Litigation and Arbitration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Occasionally, the Company is involved in various legal proceedings, formal and informal dispute resolution processes, which may include arbitration or litigation, claims, and government investigations in the ordinary course of business. The outcome of litigation and other legal matters is inherently uncertain, though the Company intends to vigorously defend against any such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in March 2019, Cellwitch, Inc. filed a patent infringement action against Tile in the U.S. District Court for the Northern District of California. Following inter partes review proceedings in which the Patent Trial and Appeal Board invalidated a majority of the asserted claims, and subsequent affirmance by the U.S. Court of Appeals for the Federal Circuit, the district court proceedings continued. As previously reported in our Quarterly Report on Form 10-Q for the quarter ended March 31, 2025, in April 2024, the district court invalidated all but two asserted claims. On May 16, 2025, the district court granted Tile’s motion for summary judgment of non-infringement, and on June 12, 2025, Cellwitch statutorily disclaimed the asserted patent. In light of these developments, no loss was considered probable and no litigation reserve was recorded. On August 5, 2025, the parties settled the remaining claims at no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14, 2023, plaintiffs Stephanie Ireland-Gordy and Shannon Ireland-Gordy filed a putative class action lawsuit against Tile, Life360, and Amazon.com, Inc. in the U.S. District Court for the Northern District of California (the “Court”), seeking damages as well as injunctive and declaratory relief. An amended complaint was filed on April 26, 2024, adding named plaintiffs Melissa Broad and Jane Doe. Plaintiffs allege that Tile trackers were used by third parties to monitor their movements without their consent, and assert product liability and other claims. On February 14, 2025, the Company filed a Motion to Dismiss. As of August 6, 2025, the Court granted the Company’s Motion to Dismiss the claims of the Ireland-Gordy plaintiffs with prejudice and the remaining plaintiffs' claims are stayed pending an appeal of the Court's ruling on the Company's Motion to Compel Arbitration, which was granted-in-part and denied-in-part. The hearing on the appeal occurred on January 5, 2026. At this time, a loss is not probable nor estimable, and as a result, no legal accrual has been recorded on the Company’s consolidated balance sheet as of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receives claims and other threats of litigation from customers in the ordinary course of business. These claims are arbitrable and the Company accrues various costs for these claims including arbitration fees, legal fees and costs. At this time, a loss is not probable nor estimable from any such claims, and as a result, no legal accruals have been recorded on the Company’s consolidated balance sheet as of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litigation reserve was recorded on the Company’s consolidated balance sheets as of December 31, 2025 or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 Common Stock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potentially outstanding common stock reserved for issuance:</w:t>
      </w:r>
    </w:p>
    <w:tbl>
      <w:tblPr>
        <w:tblW w:w="8727" w:type="dxa"/>
        <w:jc w:val="left"/>
        <w:tblInd w:w="0" w:type="dxa"/>
        <w:tblLayout w:type="fixed"/>
        <w:tblCellMar>
          <w:top w:w="28" w:type="dxa"/>
          <w:left w:w="28" w:type="dxa"/>
          <w:bottom w:w="28" w:type="dxa"/>
          <w:right w:w="28" w:type="dxa"/>
        </w:tblCellMar>
      </w:tblPr>
      <w:tblGrid>
        <w:gridCol w:w="2055"/>
        <w:gridCol w:w="1804"/>
        <w:gridCol w:w="1811"/>
        <w:gridCol w:w="541"/>
        <w:gridCol w:w="540"/>
        <w:gridCol w:w="165"/>
        <w:gridCol w:w="165"/>
        <w:gridCol w:w="165"/>
        <w:gridCol w:w="165"/>
        <w:gridCol w:w="563"/>
        <w:gridCol w:w="518"/>
        <w:gridCol w:w="235"/>
      </w:tblGrid>
      <w:tr>
        <w:trPr/>
        <w:tc>
          <w:tcPr>
            <w:tcW w:w="20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incentive plan,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4,108,029 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5,673,947 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4,294,367 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5,091,601 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shares available to be granted but not granted yet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15,118,992 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12,815,029 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23,521,388 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23,588,338 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12. Warrants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had 7,761 outstanding warrants, entitling the holder thereof to purchase shares of the Company’s common stock with an exercise price of $6.44. In September 2025, all 7,761 outstanding warrants were exercised on a cashless basis at an exercise price of $6.44 per share, resulting in the issuance of 7,205 shares of common stock. As of December 31, 2025, no warrants remained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13. Equity Incentive Plan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2011 Equity Incentive Plan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2011 Stock Plan was originally adopted by the Company’s Board of Directors on July 27, 2011 and the Company’s stockholders on October 11, 2011, and most recently amended and restated, and adopted by the Board of Directors on March 10, 2020 and the Company’s stockholders on July 21, 2020 (as restated, the “Plan”). The Plan allows the Company to grant restricted stock units (“RSUs”), which include time-based, performance-based, and market-based restricted stock units, restricted stock, as well as stock options to employees and consultants of the Company and any of the Company’s parent, subsidiaries, or affiliates, and to the members of the Board of Directors. Options granted under the Plan may be either incentive stock options or nonqualified stock options. Incentive stock options (“ISOs”) may be granted only to employees of the Company or any of the Company’s parent or subsidiaries (including officers and directors who are also employees). Nonqualified stock options (“NSOs”) may be granted to any person eligible for grants under the Plan.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23,521,388 shares reserved for issuance and 15,118,992 shares available for issuance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Time-Based 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Time-based restricted stock units (“TRSUs”) generally vest based on continued service over a specified period, which is typically four years. Each TRSU represents the right to receive one share of common stock upon vesting. The fair value of TRSUs is determined based on the closing price of the Company’s common stock on the date of grant. Stock-based compensation expense for these awards is recognized on a straight-line basis over the requisite service period and is offset by actual forfeitures as they occur.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PRSUs are granted primarily to executive officers and, in limited cases, to certain other senior-level employees. Vesting is based on continued service and the attainment of certain financial performance metrics, including revenue and Adjusted Earnings Before Interest, Taxes, Depreciation and Amortization targets, over a one-year performance period, as established and approved by the Board of Directors. The number of shares issued upon vesting may be greater or lesser than the target award amount depending on actual performance, and shares attained over target will be recognized as awards granted in the period earned.</w:t>
      </w:r>
    </w:p>
    <w:p>
      <w:pPr>
        <w:pStyle w:val="TextBody"/>
        <w:bidi w:val="0"/>
        <w:spacing w:lineRule="auto" w:line="288" w:before="240" w:after="283"/>
        <w:jc w:val="both"/>
        <w:rPr/>
      </w:pPr>
      <w:r>
        <w:rPr>
          <w:rFonts w:ascii="Times New Roman;serif" w:hAnsi="Times New Roman;serif"/>
          <w:b w:val="false"/>
          <w:color w:val="000000"/>
          <w:sz w:val="20"/>
        </w:rPr>
        <w:t>During the years ended December 31, 2025 and 2024, 225,386 and 115,403</w:t>
      </w:r>
      <w:r>
        <w:rPr>
          <w:color w:val="000000"/>
        </w:rPr>
        <w:t xml:space="preserve"> </w:t>
      </w:r>
      <w:r>
        <w:rPr>
          <w:rFonts w:ascii="Times New Roman;serif" w:hAnsi="Times New Roman;serif"/>
          <w:b w:val="false"/>
          <w:color w:val="000000"/>
          <w:sz w:val="20"/>
        </w:rPr>
        <w:t xml:space="preserve">PRSUs (“the Target Grant”) were granted with a weighted average grant-date fair value per share of $36.61 and $27.40, respectively. No PRSUs were granted during the year ended December 31, 2023. The fair value of PRSUs is determined based on the closing price of the Company’s common stock on the date of grant. Stock-based compensation expense is recognized on a graded-vesting basis for multi-tranche awards and on a straight-line basis for single-tranche awards, based on the estimated probability of achieving the performance conditions, which is reassessed each period. If achievement of the performance conditions is not considered probable, all previously recognized stock-based compensation expense related to the unvested awards is reversed.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performance goals for the PRSU awards granted in 2025 have been achieved. Accordingly, stock-based compensation cost related to these awards is no longer subject to reversal, and vesting is contingent solely upon the continued service conditions. In accordance with the vesting schedule of the awards, no shares related to these awards have vested as of December 31,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Market-Based Restricted Stock Units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executive officers were granted MRSUs during the year ended December 31, 2025. No MRSUs were granted during the year ended December 31, 2024 or 2023. Vesting is based on continued service and the Company’s total shareholder return during one-year, two-year, and three-year performance periods as measured relative to the group of companies comprising the S&amp;P Software and Services Index. The number of shares issued upon vesting may vary from the target award amount depending on actual performance, and shares attained over the target will be recognized as awards granted in the period earned.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59,622 MRSUs were granted with a total weighted average grant-date fair value per share of $114.73. Stock-based compensation expense is recognized on a graded-vesting basis over the requisite service period and is not adjusted for actual performance outcomes.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MRSUs granted using a Monte Carlo simulation model with the following assumptions:</w:t>
      </w:r>
    </w:p>
    <w:tbl>
      <w:tblPr>
        <w:tblW w:w="8477" w:type="dxa"/>
        <w:jc w:val="left"/>
        <w:tblInd w:w="0" w:type="dxa"/>
        <w:tblLayout w:type="fixed"/>
        <w:tblCellMar>
          <w:top w:w="28" w:type="dxa"/>
          <w:left w:w="28" w:type="dxa"/>
          <w:bottom w:w="28" w:type="dxa"/>
          <w:right w:w="28" w:type="dxa"/>
        </w:tblCellMar>
      </w:tblPr>
      <w:tblGrid>
        <w:gridCol w:w="1549"/>
        <w:gridCol w:w="1360"/>
        <w:gridCol w:w="1365"/>
        <w:gridCol w:w="211"/>
        <w:gridCol w:w="616"/>
        <w:gridCol w:w="271"/>
        <w:gridCol w:w="109"/>
        <w:gridCol w:w="109"/>
        <w:gridCol w:w="109"/>
        <w:gridCol w:w="211"/>
        <w:gridCol w:w="721"/>
        <w:gridCol w:w="271"/>
        <w:gridCol w:w="109"/>
        <w:gridCol w:w="109"/>
        <w:gridCol w:w="109"/>
        <w:gridCol w:w="211"/>
        <w:gridCol w:w="721"/>
        <w:gridCol w:w="316"/>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Tranche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Tranche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Tranche 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 based on U.S. Treasury yields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grant-date fair value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RSUs, including TRSUs, PRSUs, and MRSUs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RSU activity for the periods presented is as follows:</w:t>
      </w:r>
    </w:p>
    <w:tbl>
      <w:tblPr>
        <w:tblW w:w="5883" w:type="dxa"/>
        <w:jc w:val="left"/>
        <w:tblInd w:w="0" w:type="dxa"/>
        <w:tblLayout w:type="fixed"/>
        <w:tblCellMar>
          <w:top w:w="28" w:type="dxa"/>
          <w:left w:w="28" w:type="dxa"/>
          <w:bottom w:w="28" w:type="dxa"/>
          <w:right w:w="28" w:type="dxa"/>
        </w:tblCellMar>
      </w:tblPr>
      <w:tblGrid>
        <w:gridCol w:w="1021"/>
        <w:gridCol w:w="896"/>
        <w:gridCol w:w="902"/>
        <w:gridCol w:w="524"/>
        <w:gridCol w:w="526"/>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5,091,601 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2,167,685 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vested and settled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(2,452,615)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cancelled/forfeited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(512,304)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4,294,367 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total unrecognized stock-based compensation expense for outstanding RSUs of $127.7 million to be recognized over a period of approximately 2.8 years. This amount is comprised of unrecognized compensation expense of $116.2 million related to outstanding TRSUs, $5.7 million related to outstanding PRSUs, and $5.8 million related to outstanding MRSUs.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RSUs vested and settled includes shares of common stock that the Company withheld on behalf of employees to satisfy the tax withholding requirements.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RSUs granted during the years ended December 31, 2025, 2024, and 2023 had a weighted average grant date fair value of $49.79, $27.36, and $13.15 per share, respectively. The total fair value of shares vested during the years ended December 31, 2025, 2024, and 2023 was $160.8 million, $101.0 million, and $39.2 million, respectively.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no stock options during the years ended December 31, 2025, 2024, and 2023. Outstanding options at December 31, 2025 relate to historical grants under the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summary of stock option activity for the periods presented is as follows (in thousands, except share and per share data): </w:t>
      </w:r>
    </w:p>
    <w:tbl>
      <w:tblPr>
        <w:tblW w:w="9369" w:type="dxa"/>
        <w:jc w:val="left"/>
        <w:tblInd w:w="0" w:type="dxa"/>
        <w:tblLayout w:type="fixed"/>
        <w:tblCellMar>
          <w:top w:w="28" w:type="dxa"/>
          <w:left w:w="28" w:type="dxa"/>
          <w:bottom w:w="28" w:type="dxa"/>
          <w:right w:w="28" w:type="dxa"/>
        </w:tblCellMar>
      </w:tblPr>
      <w:tblGrid>
        <w:gridCol w:w="1124"/>
        <w:gridCol w:w="987"/>
        <w:gridCol w:w="993"/>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15"/>
        <w:gridCol w:w="843"/>
        <w:gridCol w:w="158"/>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5,673,947 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Options granted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(1,545,786)</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Options cancelled/forfeited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(20,132)</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4,108,029 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4,064,254 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total unrecognized compensation cost for outstanding stock options of $0.1 million to be recognized over a period of approximately 0.3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intrinsic values of outstanding, vested, and exercisable options were determined by multiplying the number of shares by the difference in exercise price of the options and the fair value of the common stock as of December 31, 2025, 2024, and 2023 of $64.14, $41.27, and $15.46 per share, respectively. The intrinsic value of the options exercised represents the difference between the exercise price and the fair market value on the date of exercise. The total intrinsic value of the options exercised during the years ended December 31, 2025, 2024, and 2023 was $88.8 million, $18.2 million, and $7.7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was allocated as follows (in thousands): </w:t>
      </w:r>
    </w:p>
    <w:tbl>
      <w:tblPr>
        <w:tblW w:w="9506" w:type="dxa"/>
        <w:jc w:val="left"/>
        <w:tblInd w:w="0" w:type="dxa"/>
        <w:tblLayout w:type="fixed"/>
        <w:tblCellMar>
          <w:top w:w="28" w:type="dxa"/>
          <w:left w:w="28" w:type="dxa"/>
          <w:bottom w:w="28" w:type="dxa"/>
          <w:right w:w="28" w:type="dxa"/>
        </w:tblCellMar>
      </w:tblPr>
      <w:tblGrid>
        <w:gridCol w:w="2060"/>
        <w:gridCol w:w="1806"/>
        <w:gridCol w:w="1818"/>
        <w:gridCol w:w="211"/>
        <w:gridCol w:w="721"/>
        <w:gridCol w:w="109"/>
        <w:gridCol w:w="109"/>
        <w:gridCol w:w="109"/>
        <w:gridCol w:w="109"/>
        <w:gridCol w:w="211"/>
        <w:gridCol w:w="721"/>
        <w:gridCol w:w="109"/>
        <w:gridCol w:w="109"/>
        <w:gridCol w:w="109"/>
        <w:gridCol w:w="109"/>
        <w:gridCol w:w="211"/>
        <w:gridCol w:w="721"/>
        <w:gridCol w:w="154"/>
      </w:tblGrid>
      <w:tr>
        <w:trPr/>
        <w:tc>
          <w:tcPr>
            <w:tcW w:w="206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amounts capitalized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There was $1.3 million and $0.7 million</w:t>
      </w:r>
      <w:r>
        <w:rPr>
          <w:color w:val="000000"/>
        </w:rPr>
        <w:t xml:space="preserve"> </w:t>
      </w:r>
      <w:r>
        <w:rPr>
          <w:rFonts w:ascii="Times New Roman;serif" w:hAnsi="Times New Roman;serif"/>
          <w:b w:val="false"/>
          <w:color w:val="000000"/>
          <w:sz w:val="20"/>
        </w:rPr>
        <w:t>of capitalized stock-based compensation costs during the years ended December 31, 2025 and 2024, respectively. There was an immaterial amount of capitalized stock-based compensation costs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incurred $30.6 million of pre-tax net operating income in the U.S. and $2.0 million of pre-tax net operating income internationally.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(benefit from) income taxes is composed of the following (in thousands):</w:t>
      </w:r>
    </w:p>
    <w:tbl>
      <w:tblPr>
        <w:tblW w:w="6896" w:type="dxa"/>
        <w:jc w:val="left"/>
        <w:tblInd w:w="0" w:type="dxa"/>
        <w:tblLayout w:type="fixed"/>
        <w:tblCellMar>
          <w:top w:w="28" w:type="dxa"/>
          <w:left w:w="28" w:type="dxa"/>
          <w:bottom w:w="28" w:type="dxa"/>
          <w:right w:w="28" w:type="dxa"/>
        </w:tblCellMar>
      </w:tblPr>
      <w:tblGrid>
        <w:gridCol w:w="1242"/>
        <w:gridCol w:w="1091"/>
        <w:gridCol w:w="1101"/>
        <w:gridCol w:w="211"/>
        <w:gridCol w:w="901"/>
        <w:gridCol w:w="109"/>
        <w:gridCol w:w="109"/>
        <w:gridCol w:w="109"/>
        <w:gridCol w:w="109"/>
        <w:gridCol w:w="211"/>
        <w:gridCol w:w="436"/>
        <w:gridCol w:w="109"/>
        <w:gridCol w:w="109"/>
        <w:gridCol w:w="109"/>
        <w:gridCol w:w="109"/>
        <w:gridCol w:w="211"/>
        <w:gridCol w:w="46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effective tax to the U.S. statutory federal income tax is as follows:</w:t>
      </w:r>
    </w:p>
    <w:tbl>
      <w:tblPr>
        <w:tblW w:w="10205" w:type="dxa"/>
        <w:jc w:val="left"/>
        <w:tblInd w:w="0" w:type="dxa"/>
        <w:tblLayout w:type="fixed"/>
        <w:tblCellMar>
          <w:top w:w="28" w:type="dxa"/>
          <w:left w:w="28" w:type="dxa"/>
          <w:bottom w:w="28" w:type="dxa"/>
          <w:right w:w="28" w:type="dxa"/>
        </w:tblCellMar>
      </w:tblPr>
      <w:tblGrid>
        <w:gridCol w:w="1481"/>
        <w:gridCol w:w="1097"/>
        <w:gridCol w:w="1105"/>
        <w:gridCol w:w="211"/>
        <w:gridCol w:w="876"/>
        <w:gridCol w:w="109"/>
        <w:gridCol w:w="256"/>
        <w:gridCol w:w="259"/>
        <w:gridCol w:w="367"/>
        <w:gridCol w:w="109"/>
        <w:gridCol w:w="109"/>
        <w:gridCol w:w="109"/>
        <w:gridCol w:w="256"/>
        <w:gridCol w:w="624"/>
        <w:gridCol w:w="128"/>
        <w:gridCol w:w="256"/>
        <w:gridCol w:w="259"/>
        <w:gridCol w:w="367"/>
        <w:gridCol w:w="109"/>
        <w:gridCol w:w="109"/>
        <w:gridCol w:w="109"/>
        <w:gridCol w:w="225"/>
        <w:gridCol w:w="712"/>
        <w:gridCol w:w="116"/>
        <w:gridCol w:w="216"/>
        <w:gridCol w:w="207"/>
        <w:gridCol w:w="424"/>
      </w:tblGrid>
      <w:tr>
        <w:trPr/>
        <w:tc>
          <w:tcPr>
            <w:tcW w:w="148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federal income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&amp; development tax credits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Nondeductible items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issuance cost</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Officer compensation - 162(m)</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adjustment</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Meals &amp; entertainment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 changes in unrecognized tax benefits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Canadian rate differential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Canadian SRED credit</w:t>
            </w:r>
            <w:r>
              <w:rPr>
                <w:rFonts w:ascii="Times New Roman;serif" w:hAnsi="Times New Roman;serif"/>
                <w:b w:val="false"/>
                <w:color w:val="000000"/>
                <w:sz w:val="13"/>
              </w:rPr>
              <w:t>(2)</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Canadian valuation allowance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income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(1) The states and local jurisdictions that contribute to the majority (greater than 50%) of the tax effect in this category include Illinois, California, New York, Georgia, Pennsylvania, and Tennessee.</w:t>
      </w:r>
    </w:p>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(2) Canadian SRED credit refers to the Canadian Scientific Research and Experimental Development tax incentive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Times New Roman;serif" w:hAnsi="Times New Roman;serif"/>
          <w:b w:val="false"/>
          <w:color w:val="231F20"/>
          <w:sz w:val="20"/>
        </w:rPr>
      </w:pPr>
      <w:r>
        <w:rPr>
          <w:rFonts w:ascii="Times New Roman;serif" w:hAnsi="Times New Roman;serif"/>
          <w:b w:val="false"/>
          <w:color w:val="231F20"/>
          <w:sz w:val="20"/>
        </w:rPr>
        <w:t>The significant components of net deferred income tax assets were as follows (in thousands):</w:t>
      </w:r>
    </w:p>
    <w:tbl>
      <w:tblPr>
        <w:tblW w:w="6291" w:type="dxa"/>
        <w:jc w:val="left"/>
        <w:tblInd w:w="0" w:type="dxa"/>
        <w:tblLayout w:type="fixed"/>
        <w:tblCellMar>
          <w:top w:w="28" w:type="dxa"/>
          <w:left w:w="28" w:type="dxa"/>
          <w:bottom w:w="28" w:type="dxa"/>
          <w:right w:w="28" w:type="dxa"/>
        </w:tblCellMar>
      </w:tblPr>
      <w:tblGrid>
        <w:gridCol w:w="1366"/>
        <w:gridCol w:w="1196"/>
        <w:gridCol w:w="1202"/>
        <w:gridCol w:w="211"/>
        <w:gridCol w:w="826"/>
        <w:gridCol w:w="109"/>
        <w:gridCol w:w="109"/>
        <w:gridCol w:w="109"/>
        <w:gridCol w:w="109"/>
        <w:gridCol w:w="229"/>
        <w:gridCol w:w="671"/>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allowances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 carryforward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 Convertible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Revenue Partner Warrant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 and other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assets,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valuation allowance decreased by $98.5 million during 2025 due to the release of the valuation allowance on the Company’s U.S. and state deferred tax assets. As a result of the release, the Company recognized $126.4 million of previously unrecognized net deferred tax assets on the consolidated balance sheet. Additionally, the Company recorded $118.4 million in Provision for (benefit from) income taxes on the consolidated statement of operations and comprehensive income (loss), and $8.0 million as an increase to Additional paid-in capital related to the purchase of the June 2025 Capped Calls on the consolidated statement of stockholders’ equity.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remaining valuation allowance of $8.5 million primarily relates to California state tax credits and Canadian SRED credits as of December 31, 2025. Since the Company mainly conducts research and development activities in California, but earns a substantial portion of its U.S. income in other states, the Company could not assert, at the required more likely than not level of certainty, that it would generate future taxable California income sufficient to realize the benefit of those deferred tax assets. Similarly, the Company has historically generated more Canadian tax credits than it utilizes each year. Accordingly, the Company maintained a valuation allowance specific to California state tax credits and Canadian SRED credits.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approximately $339.9 million and $135.4 million of federal and state net operating loss carryforwards, respectively, available to offset future taxable income. Such carryforwards expire in varying amounts beginning in 2027. The federal net operating loss carryforwards of $254.7 million arising after December 31, 2017 do not expire.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had federal and state research and development credit carryforwards of $18.5 million and $10.4 million, respectively. The federal tax credits expire in varying amounts beginning in 2034. The state tax credits do not expire. Additionally, the Company has approximately $0.5 million of tax credits in Canada, which are expected to expire in varying amounts beginning 2033.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performed a Section 382 analysis through December 31, 2025. The Company does not expect any previous ownership changes (as defined under Sections 382 and 383 of the Internal Revenue Code of 1986, as amended) to result in a limitation that will materially reduce the total amount of net operating loss carryforwards and credits that can be utilized. Subsequent ownership changes may affect the limitation in future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jurisdiction, various state jurisdictions and Canada. In the normal course of business, the Company is subject to examination by taxing authorities throughout the nation. The Company is not currently under audit by the Internal Revenue Service or other similar state and local authorities. All tax years remain open to examination by major taxing jurisdictions to which the Company is subject.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$7.4 million and $12.0 million, respectively, of gross unrecognized tax benefits related to federal and state research credits. As of December 31, 2025, $5.0 million of these unrecognized tax benefits, if recognized, would affect the Company’s effective tax rate.</w:t>
      </w:r>
    </w:p>
    <w:p>
      <w:pPr>
        <w:pStyle w:val="TextBody"/>
        <w:bidi w:val="0"/>
        <w:spacing w:lineRule="auto" w:line="288" w:before="240" w:after="283"/>
        <w:jc w:val="left"/>
        <w:rPr/>
      </w:pPr>
      <w:r>
        <w:rPr>
          <w:rFonts w:ascii="Times New Roman;serif" w:hAnsi="Times New Roman;serif"/>
          <w:b w:val="false"/>
          <w:color w:val="231F20"/>
          <w:sz w:val="20"/>
        </w:rPr>
        <w:t>T</w:t>
      </w:r>
      <w:r>
        <w:rPr>
          <w:rFonts w:ascii="Times New Roman;serif" w:hAnsi="Times New Roman;serif"/>
          <w:b w:val="false"/>
          <w:color w:val="000000"/>
          <w:sz w:val="20"/>
        </w:rPr>
        <w:t>he aggregate changes in the balance of gross unrecognized tax benefits were as follows (in thousands):</w:t>
      </w:r>
    </w:p>
    <w:tbl>
      <w:tblPr>
        <w:tblW w:w="5151" w:type="dxa"/>
        <w:jc w:val="left"/>
        <w:tblInd w:w="0" w:type="dxa"/>
        <w:tblLayout w:type="fixed"/>
        <w:tblCellMar>
          <w:top w:w="28" w:type="dxa"/>
          <w:left w:w="28" w:type="dxa"/>
          <w:bottom w:w="28" w:type="dxa"/>
          <w:right w:w="28" w:type="dxa"/>
        </w:tblCellMar>
      </w:tblPr>
      <w:tblGrid>
        <w:gridCol w:w="1472"/>
        <w:gridCol w:w="1292"/>
        <w:gridCol w:w="1301"/>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of cash paid (refunds received) during the period for income taxes, net were as follows (in thousands):</w:t>
      </w:r>
    </w:p>
    <w:tbl>
      <w:tblPr>
        <w:tblW w:w="8892" w:type="dxa"/>
        <w:jc w:val="left"/>
        <w:tblInd w:w="0" w:type="dxa"/>
        <w:tblLayout w:type="fixed"/>
        <w:tblCellMar>
          <w:top w:w="28" w:type="dxa"/>
          <w:left w:w="28" w:type="dxa"/>
          <w:bottom w:w="28" w:type="dxa"/>
          <w:right w:w="28" w:type="dxa"/>
        </w:tblCellMar>
      </w:tblPr>
      <w:tblGrid>
        <w:gridCol w:w="2031"/>
        <w:gridCol w:w="1781"/>
        <w:gridCol w:w="1798"/>
        <w:gridCol w:w="211"/>
        <w:gridCol w:w="541"/>
        <w:gridCol w:w="109"/>
        <w:gridCol w:w="109"/>
        <w:gridCol w:w="109"/>
        <w:gridCol w:w="109"/>
        <w:gridCol w:w="211"/>
        <w:gridCol w:w="616"/>
        <w:gridCol w:w="109"/>
        <w:gridCol w:w="109"/>
        <w:gridCol w:w="109"/>
        <w:gridCol w:w="109"/>
        <w:gridCol w:w="211"/>
        <w:gridCol w:w="466"/>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(refunds received) during the period for income taxes,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15. Related-Party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Hubble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2024, the Company entered into a strategic partnership and series of transactions with Hubble Network, Inc. (“Hubble”) including (i) a technology exclusivity and revenue share agreement (the “Hubble Agreement”), (ii) a Hubble SAFE investment (the “Related Party SAFE”); and (iii) Hubble’s issuance of a warrant to purchase common stock (“Related Party Warrant”). The Hubble Agreement has an initial term of 5 years beginning on November 12,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Alex Haro, the founder, and Chief Executive Officer of Hubble is a co-founder, former executive, and existing member of the Company’s Board of Directors. In addition, as part of the agreement, the Company obtained an observer right to Hubble’s board of directors. As a result, all transactions with Hubble entered into in connection with the strategic partnership are considered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part of this partnership, the Company will leverage Hubble’s global satellite infrastructure to introduce a new global location-tracking network service offering. The partnership agreement includes revenue-share payments in which Hubble will pay the Company a percentage of revenue earned from leveraging the new global location-tracking network service offering. Refer to Note 2, "Summary of Significant Accounting Policies" for additional information. As of December 31, 2025, and 2024, the Company earned immaterial net revenue from the revenue share arrangement. The partnership also allows Hubble to purchase Tile hardware devices at a price equal to the Company’s burdened cost of goods sold plus 12.5%. During the years ended December 31, 2025 and 2024, the Company recognized $0.2 million and $0.1 million in hardware revenue from sales to Hubble, respectively. The related cost of hardware revenue totaled $0.1 million and zero during the years ended December 31, 2025 and 2024, respectively. These amounts are reflected within hardware revenue and cost of hardware revenue, respectively, on the Company’s consolidated statements of operations and comprehensive income (loss). As of December 31, 2025 and 2024, the Company recorded immaterial amounts and $0.1 million of accounts receivable, net from Hubble, respectively,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2,049,191 shares of the Related Party Warrant have vested. The carrying value of the warrants as of December 31, 2025 and 2024, was $3.9 million and is also included in prepaid expenses and other assets, noncurrent. The related deferred revenue, current and deferred revenue, noncurrent balance as of December 31, 2025 was $0.8 million and $2.2 million, respectively. The deferred revenue, current and deferred revenue, noncurrent balance as of December 31, 2024 was $0.9 million and $3.0 million, respectively. The fair value of the warrant included within deferred revenue is amortized to other revenue over the life of the agreement. The Company recognized $0.9 million and zero in other revenue on the consolidated statements of operations and comprehensive income (loss) in connection with the Related Party Warrant during the year ended December 31, 2025 and 2024, respectively. Refer to the “Other Revenue” section of “Note 2, "Summary of Significant Accounting Policies" for additional information on the Related Party Warrant.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carrying value of the Related Party SAFE was $5.0 million and included within prepaid expenses and other noncurrent assets on the consolidated balance sheet. In April 2025, the Related Party SAFE converted to the Related Party Investment and resulted in a gain of $0.9 million, which was recorded within gain on change in fair value of investments on the consolidated statement of operations and comprehensive income (loss). As of December 31, 2025, the carrying value of the Related Party Investment was $5.9 million and is included within prepaid expenses and other noncurrent assets on the consolidated balance sheet. Refer to Note 5, "Fair Value Measurements" for additional information.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Payments made on behalf of Related Parties in connection with the U.S. IPO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2024, in connection with its U.S. IPO, the Company issued and sold 3,703,704 shares of common stock and certain selling securityholders including members of the Company’s Board of Directors, executive officers, non-executive employees, and other stockholders of the Company,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The Company did not receive any proceeds from the sale of shares of common stock by the selling securityholders. The Company paid the underwriting discounts and commissions in connection with the sale of shares of common stock by the selling securityholders. A summary of the expenses paid on behalf of the selling securityholders is detailed below (in millions):</w:t>
      </w:r>
    </w:p>
    <w:p>
      <w:pPr>
        <w:pStyle w:val="TextBody"/>
        <w:bidi w:val="0"/>
        <w:spacing w:before="0" w:after="0"/>
        <w:jc w:val="both"/>
        <w:rPr/>
      </w:pPr>
      <w:r>
        <w:rPr/>
      </w:r>
    </w:p>
    <w:tbl>
      <w:tblPr>
        <w:tblW w:w="4739" w:type="dxa"/>
        <w:jc w:val="left"/>
        <w:tblInd w:w="0" w:type="dxa"/>
        <w:tblLayout w:type="fixed"/>
        <w:tblCellMar>
          <w:top w:w="28" w:type="dxa"/>
          <w:left w:w="28" w:type="dxa"/>
          <w:bottom w:w="28" w:type="dxa"/>
          <w:right w:w="28" w:type="dxa"/>
        </w:tblCellMar>
      </w:tblPr>
      <w:tblGrid>
        <w:gridCol w:w="829"/>
        <w:gridCol w:w="730"/>
        <w:gridCol w:w="735"/>
        <w:gridCol w:w="668"/>
        <w:gridCol w:w="1286"/>
        <w:gridCol w:w="491"/>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Executive Officers</w:t>
            </w:r>
            <w:r>
              <w:rPr>
                <w:rFonts w:ascii="Times New Roman;serif" w:hAnsi="Times New Roman;serif"/>
                <w:b w:val="false"/>
                <w:color w:val="000000"/>
                <w:sz w:val="13"/>
              </w:rPr>
              <w:t>(1)</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Employees</w:t>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 Includes $0.7 million in expenses paid on behalf of a securityholder who is both an executive officer and member of the board of directors.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$5.5 million in total fees paid have been recorded within Other income (expense), net on the consolidated statement of operations and comprehensive income (loss) for the year ended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this transaction, refer to the prospectus supplement filed with the SEC on June 6, 2024 as well as the registration statement on Form S-3 (File No. 333-279271) filed with the SEC on May 9, 2024, of which the prospectus supplement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16. Defined Contribution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Employer contributions to the plan were $1.4 million, $1.2 million, and $1.1 million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17. Net Income (Loss) Per Share</w:t>
      </w:r>
    </w:p>
    <w:p>
      <w:pPr>
        <w:pStyle w:val="TextBody"/>
        <w:bidi w:val="0"/>
        <w:spacing w:lineRule="auto" w:line="288" w:before="120" w:after="283"/>
        <w:jc w:val="both"/>
        <w:rPr/>
      </w:pPr>
      <w:r>
        <w:rPr>
          <w:rFonts w:ascii="Times New Roman;serif" w:hAnsi="Times New Roman;serif"/>
          <w:b w:val="false"/>
          <w:color w:val="000000"/>
          <w:sz w:val="20"/>
        </w:rPr>
        <w:t xml:space="preserve">The Company computes basic and diluted net income (loss) per share in conformity with ASC 260,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 xml:space="preserve">Basic net income (loss) per share is calculated by dividing the net income (loss) by the weighted-average number of shares of common stock outstanding during the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income (loss) per share reflects the potential dilution that could occur from securities that may result in the issuance of common stock and is calculated using the treasury stock method. Diluted weighted-average shares outstanding include the effect of potential dilutive securities outstanding during the period, including stock options, restricted stock units, warrants, and other similar equity-based securities, which are calculated using the treasury stock method, as well as convertible debt instruments, which are calculated using the if-converted method. Potential common shares are excluded from diluted net income (loss) per share when their effect would be antidilutive.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basic and diluted net income (loss) per share (in thousands, except share and per share data):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50"/>
        <w:gridCol w:w="1893"/>
        <w:gridCol w:w="1891"/>
        <w:gridCol w:w="219"/>
        <w:gridCol w:w="862"/>
        <w:gridCol w:w="109"/>
        <w:gridCol w:w="109"/>
        <w:gridCol w:w="109"/>
        <w:gridCol w:w="109"/>
        <w:gridCol w:w="270"/>
        <w:gridCol w:w="811"/>
        <w:gridCol w:w="109"/>
        <w:gridCol w:w="109"/>
        <w:gridCol w:w="109"/>
        <w:gridCol w:w="109"/>
        <w:gridCol w:w="240"/>
        <w:gridCol w:w="841"/>
        <w:gridCol w:w="156"/>
      </w:tblGrid>
      <w:tr>
        <w:trPr/>
        <w:tc>
          <w:tcPr>
            <w:tcW w:w="2150"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4" w:type="dxa"/>
            <w:gridSpan w:val="6"/>
            <w:tcBorders/>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66,748,542 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55"/>
        <w:gridCol w:w="1898"/>
        <w:gridCol w:w="1881"/>
        <w:gridCol w:w="219"/>
        <w:gridCol w:w="862"/>
        <w:gridCol w:w="109"/>
        <w:gridCol w:w="109"/>
        <w:gridCol w:w="109"/>
        <w:gridCol w:w="109"/>
        <w:gridCol w:w="270"/>
        <w:gridCol w:w="811"/>
        <w:gridCol w:w="109"/>
        <w:gridCol w:w="109"/>
        <w:gridCol w:w="109"/>
        <w:gridCol w:w="109"/>
        <w:gridCol w:w="240"/>
        <w:gridCol w:w="841"/>
        <w:gridCol w:w="156"/>
      </w:tblGrid>
      <w:tr>
        <w:trPr/>
        <w:tc>
          <w:tcPr>
            <w:tcW w:w="2155"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4" w:type="dxa"/>
            <w:gridSpan w:val="6"/>
            <w:tcBorders/>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66,748,542 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RSUs, and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weighted-average shares used in computing net income (loss) per share,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66,748,542 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potential shares of common stock that were excluded from the computation of diluted net income (loss) per share for the periods presented because including them would have been antidilutive are as follows: </w:t>
      </w:r>
    </w:p>
    <w:tbl>
      <w:tblPr>
        <w:tblW w:w="8579" w:type="dxa"/>
        <w:jc w:val="left"/>
        <w:tblInd w:w="0" w:type="dxa"/>
        <w:tblLayout w:type="fixed"/>
        <w:tblCellMar>
          <w:top w:w="28" w:type="dxa"/>
          <w:left w:w="28" w:type="dxa"/>
          <w:bottom w:w="28" w:type="dxa"/>
          <w:right w:w="28" w:type="dxa"/>
        </w:tblCellMar>
      </w:tblPr>
      <w:tblGrid>
        <w:gridCol w:w="1549"/>
        <w:gridCol w:w="1360"/>
        <w:gridCol w:w="1365"/>
        <w:gridCol w:w="413"/>
        <w:gridCol w:w="413"/>
        <w:gridCol w:w="156"/>
        <w:gridCol w:w="132"/>
        <w:gridCol w:w="132"/>
        <w:gridCol w:w="132"/>
        <w:gridCol w:w="540"/>
        <w:gridCol w:w="541"/>
        <w:gridCol w:w="156"/>
        <w:gridCol w:w="132"/>
        <w:gridCol w:w="132"/>
        <w:gridCol w:w="132"/>
        <w:gridCol w:w="540"/>
        <w:gridCol w:w="541"/>
        <w:gridCol w:w="213"/>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under stock incentive plan, stock 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5,673,947 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6,625,812 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upon exercise of common stock 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Issuances upon vesting of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6,182,543 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conversion of convertible notes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10,773,309 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13,271,994 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2026, the Company completed the acquisition of Nativo, Inc., acquiring all outstanding equity interests. The total consideration was approximately $106.0 million, and consisted of $78.0 million in cash and $28.0 million in shares of the Company’s common stock, measured based on the closing market price on the acquisition date in accordance with ASC 805.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68" w:before="360" w:after="283"/>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 xml:space="preserve">Evaluation of Disclosure Controls and Procedures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December 31, 2025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December 31, 2025.</w:t>
      </w:r>
    </w:p>
    <w:p>
      <w:pPr>
        <w:pStyle w:val="TextBody"/>
        <w:bidi w:val="0"/>
        <w:spacing w:lineRule="auto" w:line="288" w:before="360" w:after="283"/>
        <w:jc w:val="both"/>
        <w:rPr/>
      </w:pPr>
      <w:r>
        <w:rPr>
          <w:rFonts w:ascii="Times New Roman;serif" w:hAnsi="Times New Roman;serif"/>
          <w:b/>
          <w:i/>
          <w:color w:val="231F20"/>
          <w:sz w:val="20"/>
        </w:rPr>
        <w:t>Changes in Internal Control over Financial Reporting</w:t>
      </w:r>
      <w:r>
        <w:rPr>
          <w:color w:val="231F20"/>
        </w:rPr>
        <w:t xml:space="preserve"> </w:t>
      </w:r>
    </w:p>
    <w:p>
      <w:pPr>
        <w:pStyle w:val="TextBody"/>
        <w:bidi w:val="0"/>
        <w:spacing w:lineRule="auto" w:line="288" w:before="120" w:after="3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year ended December 31, 2025 that have materially affected, or are reasonably likely to materially affect, our internal control over financial reporting.</w:t>
      </w:r>
    </w:p>
    <w:p>
      <w:pPr>
        <w:pStyle w:val="TextBody"/>
        <w:bidi w:val="0"/>
        <w:spacing w:lineRule="auto" w:line="288" w:before="360" w:after="283"/>
        <w:jc w:val="both"/>
        <w:rPr>
          <w:rFonts w:ascii="Times New Roman;serif" w:hAnsi="Times New Roman;serif"/>
          <w:b/>
          <w:i/>
          <w:color w:val="231F20"/>
          <w:sz w:val="20"/>
        </w:rPr>
      </w:pPr>
      <w:r>
        <w:rPr>
          <w:rFonts w:ascii="Times New Roman;serif" w:hAnsi="Times New Roman;serif"/>
          <w:b/>
          <w:i/>
          <w:color w:val="231F20"/>
          <w:sz w:val="20"/>
        </w:rPr>
        <w:t xml:space="preserve">Management’s Annual Report on Internal Control Over Financial Reporting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2025 based on the guidelines established in the Internal Control—Integrated Framework (</w:t>
      </w:r>
      <w:r>
        <w:rPr>
          <w:rFonts w:ascii="Times New Roman;serif" w:hAnsi="Times New Roman;serif"/>
          <w:b w:val="false"/>
          <w:i/>
          <w:color w:val="000000"/>
          <w:sz w:val="20"/>
        </w:rPr>
        <w:t>2013</w:t>
      </w:r>
      <w:r>
        <w:rPr>
          <w:rFonts w:ascii="Times New Roman;serif" w:hAnsi="Times New Roman;serif"/>
          <w:b w:val="false"/>
          <w:color w:val="000000"/>
          <w:sz w:val="20"/>
        </w:rPr>
        <w:t>)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the results of our evaluation, our management concluded that our internal control over financial reporting was effective as of December 31, 2025.</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Deloitte &amp; Touche LLP, has audited the consolidated financial statements included in this Annual Report and, as part of the audit, has issued an attestation report on the effectiveness of our internal control over financial reporting as of December 31, 2025, which is included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over financial reporting will prevent all errors and all fraud. A control system, no matter how well designed and implemented,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Life360,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internal control over financial reporting of Life360,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March 2, 2026,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pPr>
      <w:r>
        <w:rPr>
          <w:rFonts w:ascii="Aptos;sans-serif" w:hAnsi="Aptos;sans-serif"/>
          <w:b w:val="false"/>
          <w:color w:val="000000"/>
          <w:sz w:val="24"/>
        </w:rPr>
        <w:t>T</w:t>
      </w:r>
      <w:r>
        <w:rPr>
          <w:rFonts w:ascii="Times New Roman;serif" w:hAnsi="Times New Roman;serif"/>
          <w:b w:val="false"/>
          <w:color w:val="000000"/>
          <w:sz w:val="20"/>
        </w:rPr>
        <w: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Francisco, California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9B. Other Information. </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directors and officers, subject to Rule 16a-1(f) of the Exchange Act, may from time to time enter into plans for the purchase or sale of our common stock that are intended to satisfy the affirmative defense in Rule 10b5-1(c) of the Exchange Act. During the three months ended December 31, 2025, the following directors and officers adopted or terminated a “Rule 10b5-1 trading arrangement” as defined in Item 408 of Regulation S-K of the Exchange Act:</w:t>
      </w:r>
    </w:p>
    <w:tbl>
      <w:tblPr>
        <w:tblW w:w="10205" w:type="dxa"/>
        <w:jc w:val="left"/>
        <w:tblInd w:w="0" w:type="dxa"/>
        <w:tblLayout w:type="fixed"/>
        <w:tblCellMar>
          <w:top w:w="28" w:type="dxa"/>
          <w:left w:w="28" w:type="dxa"/>
          <w:bottom w:w="28" w:type="dxa"/>
          <w:right w:w="28" w:type="dxa"/>
        </w:tblCellMar>
      </w:tblPr>
      <w:tblGrid>
        <w:gridCol w:w="482"/>
        <w:gridCol w:w="412"/>
        <w:gridCol w:w="362"/>
        <w:gridCol w:w="109"/>
        <w:gridCol w:w="109"/>
        <w:gridCol w:w="109"/>
        <w:gridCol w:w="720"/>
        <w:gridCol w:w="720"/>
        <w:gridCol w:w="736"/>
        <w:gridCol w:w="109"/>
        <w:gridCol w:w="109"/>
        <w:gridCol w:w="109"/>
        <w:gridCol w:w="294"/>
        <w:gridCol w:w="294"/>
        <w:gridCol w:w="298"/>
        <w:gridCol w:w="109"/>
        <w:gridCol w:w="109"/>
        <w:gridCol w:w="109"/>
        <w:gridCol w:w="336"/>
        <w:gridCol w:w="336"/>
        <w:gridCol w:w="338"/>
        <w:gridCol w:w="109"/>
        <w:gridCol w:w="109"/>
        <w:gridCol w:w="109"/>
        <w:gridCol w:w="366"/>
        <w:gridCol w:w="366"/>
        <w:gridCol w:w="368"/>
        <w:gridCol w:w="109"/>
        <w:gridCol w:w="109"/>
        <w:gridCol w:w="109"/>
        <w:gridCol w:w="633"/>
        <w:gridCol w:w="564"/>
        <w:gridCol w:w="566"/>
        <w:gridCol w:w="109"/>
        <w:gridCol w:w="109"/>
        <w:gridCol w:w="161"/>
      </w:tblGrid>
      <w:tr>
        <w:trPr/>
        <w:tc>
          <w:tcPr>
            <w:tcW w:w="48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Adoption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securities to be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Brit Morin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84,591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21,000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Philip Coghlan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40,000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04/26/2027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1,156,000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Alex Haro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09/17/2026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200,000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9C. Disclosure Regarding Foreign Jurisdictions that Prevent Inspections.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10. Directors, Executive Officers and Corporate Governance. </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information required by this item will be contained in the Company’s Proxy Statement for its 2026 Annual Stockholder Meeting, to be filed with the SEC within 120 days after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(the “2026 Proxy Statement”), under the headings “Proposal 1 </w:t>
      </w:r>
      <w:r>
        <w:rPr>
          <w:color w:val="000000"/>
        </w:rPr>
        <w:t>—</w:t>
      </w:r>
      <w:r>
        <w:rPr>
          <w:color w:val="000000"/>
          <w:shd w:fill="FFFFFF" w:val="clear"/>
        </w:rPr>
        <w:t xml:space="preserve"> </w:t>
      </w:r>
      <w:r>
        <w:rPr>
          <w:rFonts w:ascii="Times New Roman;serif" w:hAnsi="Times New Roman;serif"/>
          <w:b w:val="false"/>
          <w:color w:val="000000"/>
          <w:sz w:val="20"/>
          <w:shd w:fill="FFFFFF" w:val="clear"/>
        </w:rPr>
        <w:t>Election of Directors” and “Executive Officers” and is incorporated herein by reference</w:t>
      </w:r>
      <w:r>
        <w:rPr>
          <w:rFonts w:ascii="Times New Roman;serif" w:hAnsi="Times New Roman;serif"/>
          <w:b w:val="false"/>
          <w:color w:val="000000"/>
          <w:sz w:val="20"/>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regarding compliance with Section 16(a) of the Exchange Act is incorporated by reference to the information set forth under the caption “Delinquent Section 16(a) Reports” in the 2026 Proxy Statement. Such information, if any, is incorporated herein by reference.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We have adopted a code of conduct that applies to our directors, officers, and employees, including our principal executive officer, principal financial officer, principal accounting officer or controller, or persons performing similar functions. If we make any substantive amendments to the code of conduct or grant any waiver from a provision of the code of conduct to any executive officer or director, we will promptly disclose the nature of the amendment or waiver on our website. The full text of our code of conduct is on the investor relations portion of our website at investors.life360.com.</w:t>
      </w:r>
      <w:r>
        <w:rPr>
          <w:color w:val="000000"/>
          <w:shd w:fill="FFFFFF" w:val="clear"/>
        </w:rPr>
        <w:t xml:space="preserve"> </w:t>
      </w:r>
      <w:r>
        <w:rPr>
          <w:rFonts w:ascii="Times New Roman;serif" w:hAnsi="Times New Roman;serif"/>
          <w:b w:val="false"/>
          <w:color w:val="000000"/>
          <w:sz w:val="20"/>
          <w:shd w:fill="FFFFFF" w:val="clear"/>
        </w:rPr>
        <w:t>The inclusion of our website address in this Annual Report on Form 10-K does not include or incorporate by reference into this Annual Report on Form 10-K the information on or accessible through our website.</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insider trading policies and procedures that govern the purchase, sale and other disposition of our securities by directors, officers, employees and contractors, as well as by the Company itself. We believe these policies and procedures are reasonably designed to promote compliance with insider trading laws, rules and regulations and listing standards applicable to the Company. A copy of our Insider Trading Policy is filed with this Annual Report on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11. Executive Compensation.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The information required by this item will be contained in the Company’s 2026 Proxy Statement, under the heading “Executive Compensation,” and is incorporated herein by reference</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12. Security Ownership of Certain Beneficial Owners and Management and Related Stockholder Matters.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The information required by this item will be contained in the Company’s 2026 Proxy Statement, under the heading “Security Ownership of Certain Beneficial Owners and Management,” and is incorporated herein by reference</w:t>
      </w:r>
      <w:r>
        <w:rPr>
          <w:rFonts w:ascii="Times New Roman;serif" w:hAnsi="Times New Roman;serif"/>
          <w:b w:val="false"/>
          <w:color w:val="000000"/>
          <w:sz w:val="20"/>
        </w:rPr>
        <w:t>.</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13. Certain Relationships and Related Transactions, and Director Independence.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The information required by this item will be contained in the Company’s 2026 Proxy Statement, under the heading “Transactions with Related Persons and Indemnification,” and is incorporated herein by reference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14. Principal Accountant Fees and Services.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The information required by this item will be contained in the Company’s 2026 Proxy, under the heading “Principal Accountant Fees and Services,” and is incorporated herein by reference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Exhibits and Financial Statement Schedules.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documents are filed as part of this Annual Report on Form 10-K:</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1.Financial Statements. Our consolidated financial statements are listed in the “Index to Consolidated Financial Statements” under Part II, Item 8 of this Annual Report on Form 10-K.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2.Financial Statement Schedules. The financial statement schedules have been omitted as they are either not applicable or the required information is otherwise included.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3.Exhibits. The exhibits required to be filed as part of this report are listed in the Exhibit List attached hereto and are incorporated herein by reference.</w:t>
      </w:r>
    </w:p>
    <w:tbl>
      <w:tblPr>
        <w:tblW w:w="10205" w:type="dxa"/>
        <w:jc w:val="left"/>
        <w:tblInd w:w="0" w:type="dxa"/>
        <w:tblLayout w:type="fixed"/>
        <w:tblCellMar>
          <w:top w:w="28" w:type="dxa"/>
          <w:left w:w="28" w:type="dxa"/>
          <w:bottom w:w="28" w:type="dxa"/>
          <w:right w:w="28" w:type="dxa"/>
        </w:tblCellMar>
      </w:tblPr>
      <w:tblGrid>
        <w:gridCol w:w="236"/>
        <w:gridCol w:w="207"/>
        <w:gridCol w:w="209"/>
        <w:gridCol w:w="109"/>
        <w:gridCol w:w="109"/>
        <w:gridCol w:w="109"/>
        <w:gridCol w:w="1331"/>
        <w:gridCol w:w="1169"/>
        <w:gridCol w:w="1180"/>
        <w:gridCol w:w="109"/>
        <w:gridCol w:w="109"/>
        <w:gridCol w:w="109"/>
        <w:gridCol w:w="282"/>
        <w:gridCol w:w="282"/>
        <w:gridCol w:w="283"/>
        <w:gridCol w:w="109"/>
        <w:gridCol w:w="109"/>
        <w:gridCol w:w="109"/>
        <w:gridCol w:w="192"/>
        <w:gridCol w:w="192"/>
        <w:gridCol w:w="193"/>
        <w:gridCol w:w="109"/>
        <w:gridCol w:w="109"/>
        <w:gridCol w:w="109"/>
        <w:gridCol w:w="242"/>
        <w:gridCol w:w="242"/>
        <w:gridCol w:w="208"/>
        <w:gridCol w:w="109"/>
        <w:gridCol w:w="109"/>
        <w:gridCol w:w="109"/>
        <w:gridCol w:w="404"/>
        <w:gridCol w:w="314"/>
        <w:gridCol w:w="235"/>
        <w:gridCol w:w="109"/>
        <w:gridCol w:w="109"/>
        <w:gridCol w:w="109"/>
        <w:gridCol w:w="242"/>
        <w:gridCol w:w="242"/>
        <w:gridCol w:w="358"/>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Fourth Amended and Restated Investors’ Rights Agreement dated September 18, 2018, by and among Life360, Inc., the Founders, the Existing Preferred Holders and the New Investors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Indenture, dated as of June 5, 2025, between Life360, Inc.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certificate representing the 0.00% Convertible Senior Notes due 2030(included as Exhibit A to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Indemnification Agreement between Life360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Amended and Restated 2011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Amended and Restated 2011 Stock Plan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Amended and Restated 2011 Stock Plan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Life360 Compensation Plan for Board Directors and Company Leadership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Employment Agreement, dated May 14, 2019, between Life360, Inc. and Chris Hulls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2374b3e7dff54d6f8160656e32d66b0e_13">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0"/>
        <w:gridCol w:w="177"/>
        <w:gridCol w:w="178"/>
        <w:gridCol w:w="109"/>
        <w:gridCol w:w="109"/>
        <w:gridCol w:w="109"/>
        <w:gridCol w:w="1539"/>
        <w:gridCol w:w="1313"/>
        <w:gridCol w:w="1316"/>
        <w:gridCol w:w="109"/>
        <w:gridCol w:w="109"/>
        <w:gridCol w:w="109"/>
        <w:gridCol w:w="109"/>
        <w:gridCol w:w="109"/>
        <w:gridCol w:w="109"/>
        <w:gridCol w:w="109"/>
        <w:gridCol w:w="109"/>
        <w:gridCol w:w="109"/>
        <w:gridCol w:w="203"/>
        <w:gridCol w:w="203"/>
        <w:gridCol w:w="204"/>
        <w:gridCol w:w="109"/>
        <w:gridCol w:w="109"/>
        <w:gridCol w:w="109"/>
        <w:gridCol w:w="249"/>
        <w:gridCol w:w="249"/>
        <w:gridCol w:w="250"/>
        <w:gridCol w:w="109"/>
        <w:gridCol w:w="109"/>
        <w:gridCol w:w="109"/>
        <w:gridCol w:w="508"/>
        <w:gridCol w:w="370"/>
        <w:gridCol w:w="254"/>
        <w:gridCol w:w="109"/>
        <w:gridCol w:w="109"/>
        <w:gridCol w:w="109"/>
        <w:gridCol w:w="180"/>
        <w:gridCol w:w="180"/>
        <w:gridCol w:w="263"/>
      </w:tblGrid>
      <w:tr>
        <w:trPr/>
        <w:tc>
          <w:tcPr>
            <w:tcW w:w="28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Data Services and License Agreement, effective as of January 26, 2022, by and between Life360, Inc. and Placer Labs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Amendment No. 1 to Data Services and License Agreement, effective as of June 8, 2022, by and between Life360, Inc. and Placer Labs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Warranty Program Agreement, dated June 26, 2020, by and between Cover Genius Warranty Services, LLC and Tile, Inc.</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First Amendment to the Warranty Program Agreement, dated September 17, 2020, by and between Cover Genius Warranty Services, LLC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Second Amendment to the Warranty Program Agreement, dated October 8, 2021, by and between Cover Genius Warranty Services, LLC and Tile,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Vendor Terms and Conditions between Tile, Inc. and Amazon.com, effective June 4,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Apple Developer Program License Agreement between Life360, Inc. and Apple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Schedules 2 and 3 to Apple Developer Program License Agreement between Life360, Inc. and Apple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10.37</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Non-Executive Director Appointment Letter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10.26</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2023 Severance and Change in Control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Employment Agreement, dated May 11, 2020, by and between Life360, Inc. and Russell Burke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Employment Agreement, dated May 2, 2023, by and between Life360, Inc. and Lauren Antonoff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Jabil Manufacturing Services Agreement, dated October 25, 2024, by and between Life360, Inc. and Jabil Inc., for itself and Jabil Circuit (Singapore) Pte.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Exclusivity and Revenue Share Agreement with Hubble Network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Capped Call Confirmations.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Separation Agreement between Life360, Inc. and Susan Stick.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Consulting Agreement between Life360, Inc. and Susan Stick.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Promotion Letter, dated August 8, 2025, between Life360, Inc. and Chris Hulls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2374b3e7dff54d6f8160656e32d66b0e_13">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5"/>
        <w:gridCol w:w="215"/>
        <w:gridCol w:w="217"/>
        <w:gridCol w:w="109"/>
        <w:gridCol w:w="109"/>
        <w:gridCol w:w="109"/>
        <w:gridCol w:w="1564"/>
        <w:gridCol w:w="1282"/>
        <w:gridCol w:w="1286"/>
        <w:gridCol w:w="109"/>
        <w:gridCol w:w="109"/>
        <w:gridCol w:w="109"/>
        <w:gridCol w:w="109"/>
        <w:gridCol w:w="109"/>
        <w:gridCol w:w="109"/>
        <w:gridCol w:w="109"/>
        <w:gridCol w:w="109"/>
        <w:gridCol w:w="109"/>
        <w:gridCol w:w="212"/>
        <w:gridCol w:w="212"/>
        <w:gridCol w:w="217"/>
        <w:gridCol w:w="109"/>
        <w:gridCol w:w="109"/>
        <w:gridCol w:w="109"/>
        <w:gridCol w:w="250"/>
        <w:gridCol w:w="250"/>
        <w:gridCol w:w="252"/>
        <w:gridCol w:w="109"/>
        <w:gridCol w:w="109"/>
        <w:gridCol w:w="109"/>
        <w:gridCol w:w="398"/>
        <w:gridCol w:w="398"/>
        <w:gridCol w:w="399"/>
        <w:gridCol w:w="109"/>
        <w:gridCol w:w="109"/>
        <w:gridCol w:w="109"/>
        <w:gridCol w:w="149"/>
        <w:gridCol w:w="149"/>
        <w:gridCol w:w="221"/>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Promotion Letter, dated August 8, 2025, between Life360, Inc. and Lauren Antonoff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6-addendumtofo.htm">
              <w:r>
                <w:rPr>
                  <w:rStyle w:val="InternetLink"/>
                  <w:rFonts w:ascii="Times New Roman;serif" w:hAnsi="Times New Roman;serif"/>
                  <w:b w:val="false"/>
                  <w:color w:val="000080"/>
                  <w:sz w:val="20"/>
                  <w:u w:val="single"/>
                </w:rPr>
                <w:t>A</w:t>
              </w:r>
            </w:hyperlink>
            <w:hyperlink w:anchor="exhibit1026-addendumtofo.htm">
              <w:r>
                <w:rPr>
                  <w:rStyle w:val="InternetLink"/>
                  <w:rFonts w:ascii="Times New Roman;serif" w:hAnsi="Times New Roman;serif"/>
                  <w:b w:val="false"/>
                  <w:color w:val="000080"/>
                  <w:sz w:val="20"/>
                  <w:u w:val="single"/>
                </w:rPr>
                <w:t xml:space="preserve">ddendum to </w:t>
              </w:r>
            </w:hyperlink>
            <w:hyperlink w:anchor="exhibit1026-addendumtofo.htm">
              <w:r>
                <w:rPr>
                  <w:rStyle w:val="InternetLink"/>
                  <w:rFonts w:ascii="Times New Roman;serif" w:hAnsi="Times New Roman;serif"/>
                  <w:b w:val="false"/>
                  <w:color w:val="000080"/>
                  <w:sz w:val="20"/>
                  <w:u w:val="single"/>
                </w:rPr>
                <w:t>Form of Amended and Restated 2011 Stock Plan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7-formofamende.htm">
              <w:r>
                <w:rPr>
                  <w:rStyle w:val="InternetLink"/>
                  <w:rFonts w:ascii="Times New Roman;serif" w:hAnsi="Times New Roman;serif"/>
                  <w:b w:val="false"/>
                  <w:color w:val="000080"/>
                  <w:sz w:val="20"/>
                  <w:u w:val="single"/>
                </w:rPr>
                <w:t xml:space="preserve">Form of Amended and Restated 2011 Stock Plan </w:t>
              </w:r>
            </w:hyperlink>
            <w:hyperlink w:anchor="exhibit1027-formofamende.htm">
              <w:r>
                <w:rPr>
                  <w:rStyle w:val="InternetLink"/>
                  <w:rFonts w:ascii="Times New Roman;serif" w:hAnsi="Times New Roman;serif"/>
                  <w:b w:val="false"/>
                  <w:color w:val="000080"/>
                  <w:sz w:val="20"/>
                  <w:u w:val="single"/>
                </w:rPr>
                <w:t xml:space="preserve">Performance </w:t>
              </w:r>
            </w:hyperlink>
            <w:hyperlink w:anchor="exhibit1027-formofamende.htm">
              <w:r>
                <w:rPr>
                  <w:rStyle w:val="InternetLink"/>
                  <w:rFonts w:ascii="Times New Roman;serif" w:hAnsi="Times New Roman;serif"/>
                  <w:b w:val="false"/>
                  <w:color w:val="000080"/>
                  <w:sz w:val="20"/>
                  <w:u w:val="single"/>
                </w:rPr>
                <w:t>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8-formofamende.htm">
              <w:r>
                <w:rPr>
                  <w:rStyle w:val="InternetLink"/>
                  <w:rFonts w:ascii="Times New Roman;serif" w:hAnsi="Times New Roman;serif"/>
                  <w:b w:val="false"/>
                  <w:color w:val="000080"/>
                  <w:sz w:val="20"/>
                  <w:u w:val="single"/>
                </w:rPr>
                <w:t>Form of Amended and Restated 2011 Stock Plan</w:t>
              </w:r>
            </w:hyperlink>
            <w:hyperlink w:anchor="exhibit1028-formofamende.htm">
              <w:r>
                <w:rPr>
                  <w:rStyle w:val="InternetLink"/>
                  <w:rFonts w:ascii="Times New Roman;serif" w:hAnsi="Times New Roman;serif"/>
                  <w:b w:val="false"/>
                  <w:color w:val="000080"/>
                  <w:sz w:val="20"/>
                  <w:u w:val="single"/>
                </w:rPr>
                <w:t xml:space="preserve"> Performance R-TSR</w:t>
              </w:r>
            </w:hyperlink>
            <w:hyperlink w:anchor="exhibit1028-formofamende.htm">
              <w:r>
                <w:rPr>
                  <w:rStyle w:val="InternetLink"/>
                  <w:rFonts w:ascii="Times New Roman;serif" w:hAnsi="Times New Roman;serif"/>
                  <w:b w:val="false"/>
                  <w:color w:val="000080"/>
                  <w:sz w:val="20"/>
                  <w:u w:val="single"/>
                </w:rPr>
                <w:t xml:space="preserve">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List of Subsidiaries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5deloittecons.htm">
              <w:r>
                <w:rPr>
                  <w:rStyle w:val="InternetLink"/>
                  <w:rFonts w:ascii="Times New Roman;serif" w:hAnsi="Times New Roman;serif"/>
                  <w:b w:val="false"/>
                  <w:color w:val="0000FF"/>
                  <w:sz w:val="20"/>
                  <w:u w:val="single"/>
                </w:rPr>
                <w:t>Consent of Deloitte and Touche LLP, an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4b3e7dff54d6f8160656e32d66b0e_271">
              <w:r>
                <w:rPr>
                  <w:rStyle w:val="InternetLink"/>
                  <w:rFonts w:ascii="Times New Roman;serif" w:hAnsi="Times New Roman;serif"/>
                  <w:b w:val="false"/>
                  <w:color w:val="0000FF"/>
                  <w:sz w:val="20"/>
                  <w:u w:val="single"/>
                </w:rPr>
                <w:t>Power of Attorney (included on the signature page to this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fy25xceo.htm">
              <w:r>
                <w:rPr>
                  <w:rStyle w:val="InternetLink"/>
                  <w:rFonts w:ascii="Times New Roman;serif" w:hAnsi="Times New Roman;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fy25xcfo.htm">
              <w:r>
                <w:rPr>
                  <w:rStyle w:val="InternetLink"/>
                  <w:rFonts w:ascii="Times New Roman;serif" w:hAnsi="Times New Roman;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life360fy25xceo.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fy25xcfo.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001-42120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97.1</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previously.</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    Indicates a management contract or compensatory plan, contract or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720"/>
        <w:jc w:val="both"/>
        <w:rPr>
          <w:color w:val="000000"/>
        </w:rPr>
      </w:pPr>
      <w:r>
        <w:rPr>
          <w:color w:val="000000"/>
        </w:rPr>
        <w:t>†    </w:t>
      </w:r>
      <w:r>
        <w:rPr>
          <w:rFonts w:ascii="Times New Roman;serif" w:hAnsi="Times New Roman;serif"/>
          <w:b w:val="false"/>
          <w:color w:val="000000"/>
          <w:sz w:val="20"/>
        </w:rPr>
        <w:t xml:space="preserve">Certain exhibits and schedules to this exhibit have been omitted in accordance with Item 601(a)(5) of Regulation S-K. The registrant hereby agrees to furnish supplementally a copy of any omitted exhibit or schedule to the SEC upon its request. </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Portions of this exhibit have been redacted in accordance with Regulation S-K Item 601(b)(10)(iv).</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Item 16. Form 10-K Summary </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6475"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219"/>
        <w:gridCol w:w="219"/>
        <w:gridCol w:w="219"/>
        <w:gridCol w:w="1126"/>
        <w:gridCol w:w="1126"/>
        <w:gridCol w:w="161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Lauren Antonoff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Each person whose individual signature appears below hereby authorizes and appoints Lauren Antonoff and Russell Burke,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120" w:after="283"/>
        <w:jc w:val="left"/>
        <w:rPr/>
      </w:pPr>
      <w:hyperlink w:anchor="i2374b3e7dff54d6f8160656e32d66b0e_13">
        <w:r>
          <w:rPr>
            <w:rStyle w:val="InternetLink"/>
            <w:rFonts w:ascii="Times New Roman;serif" w:hAnsi="Times New Roman;serif"/>
            <w:b/>
            <w:color w:val="0000FF"/>
            <w:sz w:val="20"/>
            <w:u w:val="single"/>
          </w:rPr>
          <w:t>Table of Contents</w:t>
        </w:r>
      </w:hyperlink>
    </w:p>
    <w:tbl>
      <w:tblPr>
        <w:tblW w:w="7898" w:type="dxa"/>
        <w:jc w:val="left"/>
        <w:tblInd w:w="0" w:type="dxa"/>
        <w:tblLayout w:type="fixed"/>
        <w:tblCellMar>
          <w:top w:w="28" w:type="dxa"/>
          <w:left w:w="28" w:type="dxa"/>
          <w:bottom w:w="28" w:type="dxa"/>
          <w:right w:w="28" w:type="dxa"/>
        </w:tblCellMar>
      </w:tblPr>
      <w:tblGrid>
        <w:gridCol w:w="736"/>
        <w:gridCol w:w="648"/>
        <w:gridCol w:w="655"/>
        <w:gridCol w:w="109"/>
        <w:gridCol w:w="109"/>
        <w:gridCol w:w="109"/>
        <w:gridCol w:w="1284"/>
        <w:gridCol w:w="1284"/>
        <w:gridCol w:w="1302"/>
        <w:gridCol w:w="109"/>
        <w:gridCol w:w="109"/>
        <w:gridCol w:w="109"/>
        <w:gridCol w:w="389"/>
        <w:gridCol w:w="389"/>
        <w:gridCol w:w="557"/>
      </w:tblGrid>
      <w:tr>
        <w:trPr/>
        <w:tc>
          <w:tcPr>
            <w:tcW w:w="7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Lauren Antonoff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 Hulls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Chris Hulls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(CJ) Prober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Charles (CJ) Prober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Philip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John Philip Coghlan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Goines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 Goines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Haro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Alex Haro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 Morin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 Morin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Synge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James Synge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Wiadrowski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Wiadrowski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Randi Zuckerberg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2026</w:t>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Randi Zuckerberg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1" w:name="exhibit1026-addendumtofo.htm"/>
      <w:bookmarkStart w:id="2" w:name="ksexhibit1026addendumtofo"/>
      <w:bookmarkEnd w:id="1"/>
      <w:bookmarkEnd w:id="2"/>
      <w:r>
        <w:rPr/>
        <w:drawing>
          <wp:inline distT="0" distB="0" distL="0" distR="0">
            <wp:extent cx="10048875" cy="13001625"/>
            <wp:effectExtent l="0" t="0" r="0" b="0"/>
            <wp:docPr id="1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jc w:val="center"/>
        <w:rPr>
          <w:color w:val="FFFFFF"/>
          <w:sz w:val="2"/>
        </w:rPr>
      </w:pPr>
      <w:r>
        <w:rPr>
          <w:color w:val="FFFFFF"/>
          <w:sz w:val="2"/>
        </w:rPr>
        <w:t xml:space="preserve">312979063 v2 Exhibit 10.26 EXHIBIT B IMPORTANT NOTE: By accepting the Restricted Stock Units (whether by signing the RSU Award Grant Notice and/or the Award Agreement or via the Company’s designated electronic acceptance procedures), Participant is agreeing to be bound by the terms of the NIC Joint Election. Participant should read the terms of the NIC Joint Election carefully before accepting the Award Agreement and the NIC Joint Election. If requested by the Company, Participant agrees to execute the NIC Joint Election in hard copy even if Participant has accepted the Restricted Stock Units through the Company’s electronic acceptance procedure. By entering into the NIC Joint Election: ● Participant agrees that any Employer NICs liability that may arise in connection with participation in the Plan will be transferred to Participant; and ● Participant authorizes the Company and the Employer to recover an amount sufficient to cover this liability by such methods including, but not limited to, deductions from Participant’s salary or other payments due or the withholding or sale of sufficient Shares acquired pursuant to the settlement of the Restricted Stock Units.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 Participants in the United Kingdom Election To Transfer the Employer’s National Insurance Liability to the Employee This Election is between: A. The individual who has obtained authorized access to this Election (the “Employee”), who is employed by a company listed in the attached Schedule (the “Employer”) and who is eligible to receive Restricted Stock Units (“Awards”) pursuant to the Life360, Inc. 2011 Amended and Restated Stock Plan (the “Plan”), and B. Life360, Inc., with its registered office at 1900 South Norfolk Street, Suite 310 San Mateo, CA (the “Company”), which may grant Awards under the Plan and is entering into this Election on behalf of the Employer. 1. Purpose of Election 1.1 This Election relates to all Awards granted to the Employee under the Plan up to the termination date of the Plan. 1.2 In this Election the following words and phrases have the following meanings: “ITEPA” means the Income Tax (Earnings and Pensions) Act 2003. “Relevant Employment Income” from Awards on which employer’s National Insurance Contributions become due means: (i) an amount that counts as employment income of the earner under section 426 ITEPA (restricted securities: charge on certain post-acquisition events); (ii) an amount that counts as employment income of the earner under section 438 of ITEPA (convertible securities: charge on certain post-acquisition events); or (iii) any gain that is treated as remuneration derived from the earner’s employment by virtue of section 4(4)(a) SSCBA, including without limitation: (A) the acquisition of securities pursuant to the Awards (within section 477(3)(a) of ITEPA); (B) the assignment (if applicable) or release of the Awards in return for consideration (within section 477(3)(b) of ITEPA); Exhibit 10.26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 the receipt of a benefit in connection with the Awards, other than a benefit within (i) or (ii) above (within the meaning of section 477(3)(c) of ITEPA). “SSCBA” means the Social Security Contributions and Benefits Act 1992. “Taxable Event” means any event giving rise to Relevant Employment Income. 1.3 This Election relates to the employer’s secondary Class 1 National Insurance Contributions which may arise in respect of Relevant Employment Income (the “Employer NICs”) in respect of the Awards pursuant to section 4(4)(a) and/or paragraph 3B(1A) of Schedule 1 of the SSCBA. 1.4 This Election does not apply in relation to any liability, or any part of any liability, arising as a result of regulations being given retrospective effect by virtue of section 4B(2) of either the SSCBA, or the Social Security Contributions and Benefits (Northern Ireland) Act 1992. 1.5 This Election does not apply to the extent that it relates to relevant employment income which is employment income of the earner by virtue of Chapter 3A of Part VII of ITEPA (employment income: securities with artificially depressed market value). 2. The Election The Employee and the Company jointly elect that the entire liability of the Employer to pay the Employer NICs that arises on any Relevant Employment Income is hereby transferred to the Employee. The Employee understands that, by accepting the Awards (whether by signing the RSU Award Grant Notice and/or Agreement or via the Company’s designated electronic acceptance procedures) or by separately signing or electronically accepting this Election, the Employee will become personally liable for the Employer NICs covered by this Election. This Election is made in accordance with paragraph 3B(1) of Schedule 1 to SSCBA. 3. Payment of the Employer’s Liability 3.1 The Employee hereby authorizes the Company and/or the Employer to collect the Employer NICs from the Employee in respect of any Relevant Employment Income at any time after the Taxable Event: (i) by deduction from salary or any other payment payable to the Employee at any time on or after the date of the Taxable Event; and/or (ii) directly from the Employee by payment in cash or cleared funds; and/or (iii) by arranging, on behalf of the Employee, for the sale of some of the securities which the Employee is entitled to receive in respect of the Awards; (iv) where the proceeds of the gain are to be paid through a third party, by that party withholding an amount from the payment or selling some of the securities which the Exhibit 10.26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Employee is entitled to receive in respect of the Awards; and/or (v) by any other means specified in the applicable award agreement. 3.2 The Company hereby reserves for itself and the Employer the right to withhold the transfer of any securities in respect of the Awards to the Employee until full payment of the Employer NICs is received. 3.3 The Company agrees to procure the remittance by the Employer of the Employer NICs to HM Revenue &amp; Customs (“HMRC”) on behalf of the Employee within 14 days after the end of the UK tax month during which the Taxable Event occurs (or within 17 days after the end of the UK tax month during which the Taxable Event occurs if payments are made electronically). 4. Duration of Election 4.1 The Employee and the Company agree to be bound by the terms of this Election regardless of whether the Employee is transferred abroad or is not employed by the Employer on the date on which the Employer NICs becomes due. 4.2 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 4.3 This Election will continue in effect until the earliest of the following: (i) the Employee and the Company agree in writing that it should cease to have effect; (ii) on the date the Company serves written notice on the Employee terminating its effect; (iii) on the date HMRC withdraws approval of this Election; or (iv) after due payment of the Employer NICs liability in respect of the entirety of the Awards to which this Election relates or could relate, such that the Election ceases to have effect in accordance with its terms. 4.4 This Election will continue in force regardless of whether the Employee ceases to be an employee of the Employer. Acceptance by the Employee The Employee acknowledges that, by accepting the Awards (whether by signing the RSU Award Grant Notice and/or Agreement or via the Company’s designated electronic acceptance procedures) or by separately signing or electronically accepting this Election, the Employee agrees to be bound by the terms of this Election. Exhibit 10.26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###PARTICIPANT_NAME### The Employee ###ACCEPTANCE DATE### Date Acceptance by the Company The Company acknowledges that, by arranging for the scanned signature of an authorized representative to appear on this Election, the Company agrees to be bound by the terms of this Election. Signed for and on behalf of the Company Insert Name Insert Title Exhibit 10.26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SCHEDULE OF EMPLOYER COMPANIES The following employer company shall be covered by this Election: Name Oyster HR Ltd Registered Office: Wy House, Farnham Road, Guildford, Surrey GU1 4YD Company Registration Number: 12550686 Corporation Tax Reference: 213512418 PAYE Reference: 120/EE15188 Exhibit 10.26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ibit1027-formofamende.htm"/>
      <w:bookmarkStart w:id="4" w:name="ksexhibit1027formofamende"/>
      <w:bookmarkEnd w:id="3"/>
      <w:bookmarkEnd w:id="4"/>
      <w:r>
        <w:rPr/>
        <w:drawing>
          <wp:inline distT="0" distB="0" distL="0" distR="0">
            <wp:extent cx="10048875" cy="13001625"/>
            <wp:effectExtent l="0" t="0" r="0" b="0"/>
            <wp:docPr id="1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10.27 LIFE360, INC. PSU AWARD GRANT NOTICE (2011 AMENDED AND RESTATED STOCK PLAN) Life360, Inc. (the “Company”) has awarded to you (the “Participant”) the number of performance- stock units (“PSUs” or “Performance Stock Units”) specified and on the terms set forth below in consideration of your services (the “PSU Award”). The PSU Award is subject to all of the terms and conditions as set forth herein and in the Life360, Inc. 2011 Amended and Restated Stock Plan (the “Plan”) and the award agreement (the “Award Agreement”), which are attached hereto and incorporated herein in their entirety. Capitalized terms not explicitly defined herein but defined in the Plan or the Award Agreement shall have the meanings set forth in the Plan or the Award Agreement. Participant: Date of Grant: Vesting Commencement Date: Target Number of PSUs: Vesting Schedule1: See Annex I Attached. Notwithstanding the foregoing, vesting shall terminate upon the Participant’s termination of Continuous Service Status. Issuance Schedule: One share of the Company’s Common Stock, will be issued at the time set forth in Section 2 of the Award Agreement for each PSU which vests. Participant Acknowledgements: By your signature below or by electronic acceptance or authentication in a form authorized by the Company, you understand and agree that: ● The PSU Award is governed by this PSU Award Grant Notice (the “Grant Notice”), and the provisions of the Plan and the Award Agreement, all of which are made a part of this document. Unless otherwise provided in the Plan, this Grant Notice and the Award Agreement (together, the “PSU Award Agreement”) may not be modified, amended or revised except in a writing signed by you and a duly authorized officer of the Company. ● You have read and are familiar with the provisions of the Plan and the PSU Award Agreement. In the event of any conflict between the provisions in the PSU Award Agreement or the terms of the Plan, the terms of the Plan shall control. ● The PSU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1 The Vesting of the Earned PSUs is subject to the Compensation Committee’s determination of the achievement of the performance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Exhibit 10.27 agreement, offer letter, severance agreement, written severance plan or policy, or other written agreement between the Company and you in each case that specifies the terms that should govern this PSU Award. THE COMPANY: LIFE360, INC. PARTICIPANT: By: Signature Date: ATTACHMENTS: Award Agreement, 2011 Amended and Restated Stock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EXHIBIT A TERMS AND CONDITIONS OF PERFORMANCE STOCK UNIT GRANT 1. Grant of Performance Stock Units. The Company hereby grants to Participant under the Plan an Award of Performance Stock Units, subject to all of the terms and conditions in this Award Agreement and the Plan, which is incorporated herein by reference. Subject to Section 13 of the Plan, if there is a conflict between the terms and conditions of the Plan and the terms and conditions of this Award Agreement, the terms and conditions of the Plan will prevail. 2. Company’s Obligation to Pay. Each Performance Stock Unit represents the right to receive a Share on the date it vests. Unless and until the Performance Stock Units will have vested in the manner set forth in this Award Agreement, including the Notice of Grant attached as Part I to this Award Agreement, Participant will have no right to receive Shares pursuant to any such Performance Stock Units. Prior to actual payment of any vested Performance Stock Units, such Performance Stock Units will represent an unsecured obligation of the Company. Any Performance Stock Units that vest in accordance with this Award Agreement will be settled by delivery of whole Shares as set forth herein to Participant (or in the event of Participant’s death, to his or her estate), subject to Participant satisfying any Tax- Related Items as set forth in Section 6. Subject to the provisions of Section 4, such vested Performance Stock Units will be settled by delivery of whole Shares as soon as practicable after vesting, but in each such case within the period ending no later than the date that is two and one- half (2½) months from the end of the Company’s tax year that includes the vesting date. In no event will Participant be permitted, directly or indirectly, to specify the taxable year in which Shares will be issued upon payment of any Performance Stock Units under this Award Agreement. 3. Termination. Except as otherwise provided in the Notice of Grant or this Award Agreement, if Participant’s Continuous Service Status terminates at any time for any reason (the “Termination Date”), all Performance Stock Units for which vesting is no longer possible under the terms of the Notice of Grant attached as Part I to this Award Agreement and this Award Agreement shall be forfeited to the Company on the date that is three (3) months following such Termination Date, and all rights of Participant to such Performance Stock Units shall immediately terminate at such time. Further, for purposes of the Performance Stock Units, Participant’s Continuous Service Status and the Termination Date will be deemed to occur as of the date Participant is no longer actively providing services to the Company, its Parent, Subsidiaries or Affiliates, and, unless otherwise determined by the Company, Participant’s right to vest in the Performance Stock Units will terminate as of such date and will not be extended by any contractual notice period or any period of “garden leave” or similar notice period mandated under the Applicable Laws in the jurisdiction where Participant is employed or the terms of Participant’s employment agreement, if any. The Company shall have the exclusive discretion to determine when Participant is no longer actively providing services for purposes of the Performance Stock Units (including, subject to the terms of the Plan and Applicable Laws, whether Participant may still be considered to be providing services while on a leave of absence).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4. Administrator Discretion. Notwithstanding anything in the Plan or this Award Agreement to the contrary, if the vesting of the balance, or some lesser portion of the balance, of the Performance Stock Units is accelerated in connection with the termination of Participant’s Continuous Service Status (provided that such termination is a “separation from service” within the meaning of Code Section 409A, as determined by the Company), other than due to death, and if (x) Participant is a “specified employee” within the meaning of Code Section 409A at the time of such termination of Participant’s Continuous Service Status and (y) the payment of such accelerated Performance Stock Units will result in the imposition of additional tax under Code Section 409A if paid to Participant on or within the six (6) month period following termination of Participant’s Continuous Service Status, then the payment of such accelerated Performance Stock Units will not be made until the date six (6) months and one (1) day following the date the termination of Participant’s Continuous Service Status, unless the Participant dies following the termination of his or her Continuous Service Status, in which case, the Performance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Performance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 5. Death of Participant.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 6. Withholding of Taxes. Regardless of any action the Company or Participant’s employer (the “Employer”) takes with respect to any or all applicable national, local, or other tax or social contribution, withholding, required deductions, or other payments, if any, that arise upon the grant or vesting of the Performance Stock Units or the holding or subsequent sale of Shares, and the receipt of dividends, if any, or otherwise in connection with the Performance Stock Units or the Shares (“Tax-Related Items”), Participant acknowledges and agrees that the ultimate liability for all Tax-Related Items legally due by Participant is and remains Participant’s responsibility and may exceed any amount actually withheld by the Company or the Employer. If so requested by the Company, Participant hereby agrees to cooperate with the Company or the Employer, as applicable, and take all actions necessary, as determined by the Company or the Employer, as applicable, to assume liability for all Tax-Related Items to the extent permitted by Applicable Laws. Participant further acknowledges and agrees that Participant is solely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responsible for filing all relevant documentation that may be required in relation to the Performance Stock Units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 payment of the Performance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Performance Stock Units, including the grant or vesting of the Performance Stock Units, the subsequent sale of Shares acquired under the Plan, and the receipt of dividends, if any; and (b) do not commit to and are under no obligation to structure the terms of the Performance Stock Units or any aspect of the Performance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 As a condition to the grant and vesting of the Performance Stock Units and as set forth in Section 9 of the Plan, Participant hereby agrees to make adequate provision for the satisfaction of (and will indemnify the Company and any Parent or Subsidiary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Performance Stock Units (provided that amounts withheld shall not exceed the amount necessary to satisfy the Company’s tax withholding obligations); (iv) by withholding from proceeds of the sale of Shares acquired upon payment of the vested Performance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Participant’s obligations with respect to all Tax-Related Items shall be satisfied by the Company withholding Shares that otherwise would be issued to Participant upon payment of the vested Performance Stock Units. Any Shares withheld pursuant to this Section 6 shall be valued based on the Fair Market Value as of the date the withholding obligations are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Furthermore, Participant agrees to pay the Company or any Parent, Subsidiary, or Employer any Tax-Related Items that cannot be satisfied by the foregoing methods. 7. Rights as Stockholder.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 8. No Guarantee of Continued Service or Grants. PARTICIPANT ACKNOWLEDGES AND AGREES THAT THE VESTING OF THE PERFORMANCE STOCK UNITS PURSUANT TO THE VESTING SCHEDULE HEREOF IS EARNED ONLY BY CONTINUING AS A SERVICE PROVIDER AT THE WILL OF THE COMPANY (OR THE EMPLOYER) AND NOT THROUGH THE ACT OF BEING HIRED, BEING GRANTED THIS PERFORMANCE STOCK UNIT AWARD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EMPLOYER) TO TERMINATE PARTICIPANT’S RELATIONSHIP AS A SERVICE PROVIDER AT ANY TIME, WITH OR WITHOUT CAUSE. Participant also acknowledges and agrees that: (a) the Plan is established voluntarily by the Company, it is discretionary in nature and it may be modified, amended, suspended or terminated by the Company at any time; (b) the grant of Performance Stock Units is voluntary and occasional and does not create any contractual or other right to receive future grants of Performance Stock Units, or benefits in lieu of Performance Stock Units even if Performance Stock Units have been granted repeatedly in the past; (c) all decisions with respect to future awards of Performance Stock Units, if any, will be at the sole discretion of the Company; (d) Participant’s participation in the Plan is voluntary; (e) the Performance Stock Units and the Shares subject to the Performance Stock Units are extraordinary items that do not constitute regular compensation for services rendered to the Company or the Employer, and that are outside the scope of Participant’s employment contract, if any; (f) the Performance Stock Units and the Shares subject to the Performance Stock Units are not intended to replace any pension rights or compensation; (g) the Performance Stock Units and the Shares subject to the Performance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any way to, past services for the Company or the Employer, subject to Applicable Laws. 9. Grant is Not Transferable. Except to the limited extent provided in Section 5,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 10. Additional Conditions to Issuance of Stock and Imposition of Other Requirements.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grant or vesting of the Performance Stock Units, or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Performance Stock Units at any time if the issuance of Shares violates or is not in compliance with any Applicable Laws. The Company retains sole discretion to determine if and when it is appropriate to undertake any regulatory registration or filing or other administrative steps in order to achieve such compliance. The Company is under no obligation to undertake any such filing or other steps that would not otherwise be required except in relation to the Plan and grants thereunder and will not assume any liability due to the failure to complete such filing or other steps. Furthermore, the Company reserves the right to impose other requirements on Participant’s participation in the Plan, on the Performance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Performance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is solely responsible for and will have to independently fulfill in relation to the Performance Stock Units or the Shares. Notwithstanding any provision herein, the Performance Stock Units and any Shares shall be subject to any special terms and conditions or disclosures as may be set forth in any addendum for Participant’s country (the “Country-Specific Addendum,” which forms part this Award Agreement). Participant also understands and agrees that if he or she works, resides, moves to, or otherwise is 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 11. Lock-Up Agreement. In connection with any public offering of the Company’s securities, Participant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 to exceed 180 days) from the effective date of such offering as may be requested by the Company or such managing underwriters and to execute an agreement reflecting the foregoing as may be requested by the underwriters at the time of the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offering. In order to enforce the restriction set forth above, the Company may impose stop-transfer instructions with respect to the Shares acquired under this Award Agreement until the end of the applicable restriction period. The Company’s underwriters shall be beneficiaries of the agreement set forth in this Section. 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provisions remain in effect at the time of the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12. Limitations on Transfer. Participant acknowledges and agrees that the Shares purchased under this Award Agreement are subject to (i) the terms and conditions that apply to the Company’s Common Stock, as set forth in the Company’s Bylaws as in effect at the time of any proposed transfer (the “Bylaw Provisions”), and (ii) any other limitation or restriction on transfer created by Applicable Laws. Participant shall not assign, encumber or dispose of any interest in the Shares except to the extent permitted by, and in compliance with the Bylaw Provisions and Applicable Laws. 13. Investment and Taxation Representations. In connection with the receipt of the Performance Stock Units and the Shares upon payment of the Performance Stock Units, Participant represents to the Company the following: (a) Participant is aware of the Company’s business affairs and financial condition and has acquired sufficient information about the Company to reach an informed and knowledgeable decision to acquire the Shares issued pursuant to this Award Agreement. Participant is or will be acquiring the Shares for investment for Participant’s own account only and not with a view to, or for resale in connection with, any “distribution” thereof within the meaning of the Securities Act of 1933, as amended (the “Securities Act”) or under any applicable provision of state law. Participant does not have any present intention to transfer the Shares issued pursuant to this Award Agreement to any other person or entity. (b) Participant understands that the Shares issued pursuant to this Award Agreement have not been registered under the Securities Act by reason of a specific exemption therefrom, which exemption depends upon, among other things, the bona fide nature of Participant’s investment intent as expressed herein. (c) Participant further acknowledges and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(d) Participant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Participant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13(d), Participant acknowledges and agrees to the restrictions set forth in Section 13(e) below. (e) Participant further understands that in the event all of the applicable requirements of Rule 144 are not satisfied, registration under the Securities Act, compliance with Regulation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 (f) Participant represents that Participant is not subject to any of the “Bad Actor” disqualifications described in Rule 506(d)(1)(i) to (viii) under the Securities Act. Participant also agrees to notify the Company if Participant becomes subject to such disqualifications after the date hereof. (g) Participant understands that Participant may suffer adverse tax consequences as a result of Participant’s receipt of the Performance Stock Units, the vesting and/or payment of the Performance Stock Units, the issuance of Shares allocated to the Performance Stock Units and/or the disposition of such Shares. Participant represents that Participant has consulted any tax consultants Participant deems advisable in connection with the receipt of the Performance Stock Units, the vesting and/or payment of the Performance Stock Units, the issuance of Shares allocated to the Performance Stock Units and/or the disposition of such Shares and that Participant is not relying on the Company for any tax advice. 14. Restrictive Legends and Stop-Transfer Orders. (a) Legends. Any stock certificate or, in the case of uncertificated securities, any notice of issuance, for the Shares shall bear the following legends (as well as any legends required by the Company or applicable state and federal corporate and securities laws): (i) “THE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(b) Stop-Transfer Notices.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 (c) Required Notices. Participant acknowledges that the Shares are issued and shall be held subject to all the provisions of this Section 14, the Certificate of Incorporation and the Bylaws of the Company and any amendments thereto, copies of which are on file at the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office of the Company. A statement of all of the rights, preferences, privileges and restrictions granted to or imposed upon the respective classes and/or series of shares of stock of the Company and upon the holders thereof may be obtained by any stockholder upon request and without charge, at the principal office of the Company, and the Company will furnish any stockholder, upon request and without charge, a copy of such statement. Participant acknowledges that the provisions of this Section 14 shall constitute the notices required by Sections 151(f) and 202(a) of the Delaware General Corporation Law and the Participant hereby expressly waives the requirement of Section 151(f) of the Delaware General Corporation Law that it receive the written notice provided for in Sections 151(f) and 202(a) of the Delaware General Corporation Law within a reasonable time after the issuance of the Shares. 15. Waiver of Statutory Information Rights. Participant acknowledges and understands that, but for the waiver made herein, Participant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Participant as may be provided for in Section 220, the “Inspection Rights”). In light of the foregoing, until the first sale of Common Stock of the Company to the general public pursuant to a registration statement filed with and declared effective by the Securities and Exchange Commission under the Securities Act of 1933, as amended, Participant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Participant in Participant’s capacity as a stockholder and shall not affect any rights of a director, in his or her capacity as such, under Section 220. The foregoing waiver shall not apply to any contractual inspection rights of Participant under any written agreement with the Company. 16. Plan Governs.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will have the meaning set forth in the Plan. 17. Administrator Authority.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Performance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18. Electronic Delivery and Acceptance; Translation. The Company may, in its sole discretion, decide to deliver any documents related to Participant’s current or future participation in the Plan, this Award, the Shares subject to this Award, any other securities of the Company or any other Company-related documents, by electronic means. By accepting this Award, whether electronically or otherwise, Participant hereby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If Participant has received this Award Agreement, including appendices, or any other document related to the Plan translated into a language other than English, and the meaning of the translated version is different than the English version, the English version will control. 19. Data Privacy. Participant hereby explicitly and unambiguously consents to the collection, use and transfer, in electronic or other form, of Participant’s Personal Data (as described below) by and among, as applicable, the Company, any Parent, Subsidiary, or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 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Parent, Subsidiary, or Affiliate, details of all Performance Stock Units or any other entitlement to Shares awarded, canceled, exercised, vested, unvested or outstanding in Participant’s favor (“Personal Data”).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 Participant should also refer to any data privacy policy implemented by the Company (which will be available to Participant separately and may be updated from time to time) for more information regarding the collection, use, storage, and transfer of Participant’s Personal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20. Foreign Exchange Fluctuations and Restrictions. Participant understands and agrees that the future value of the underlying Shares is unknown and cannot be predicted with certainty and may decrease. Participant also understands that the Company, and any Parent, Subsidiary and Affiliate, are not responsible for any foreign exchange fluctuation between local currency and the United States Dollar or the selection by the Company, or any Parent, Subsidiary or Affiliate, in its sole discretion of an applicable foreign currency exchange rate that may affect the value of the Performance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 21. Amendment, Suspension or Termination of the Plan. By accepting this Award, Participant expressly warrants that he or she has received an Award of Performance Stock Units under the Plan, and has received, read and understood a description of the Plan. Participant understands that the Plan is discretionary in nature and may be amended, suspended or terminated by the Company at any time. 22. Miscellaneous. (a) Governing Law. The validity, interpretation, construction and performance of this Award Agreement, and all acts and transactions pursuant 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Award Agreement, the parties hereby submit and consent to the exclusive jurisdiction of the state of California and agree that any such litigation shall be conducted only in the courts of California or the federal courts of the United States located in California and no other courts. (b) Entire Agreement. This Award Agreement sets forth the entire agreement and understanding of the parties relating to the subject matter herein and supersedes all prior or contemporaneous discussions, understandings and agreements, whether oral or written, between them relating to the subject matter hereof. (c) Amendments and Waivers. No modification of or amendment to this Award Agreement, nor any waiver of any rights under this Award Agreement, shall be effective unless in writing signed by the parties to this Award Agreement. No delay or failure to require performance of any provision of this Award Agreement shall constitute a waiver of that provision as to that or any other instance.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Performance Stock Units.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10.27 (d) Successors and Assigns. Except as otherwise provided in this Award Agreement, this Award Agreement, and the rights and obligations of the parties hereunder, will be binding upon and inure to the benefit of their respective successors, assigns, heirs, executors, administrators and legal representatives. The Company may assign any of its rights and obligations under this Award Agreement. Except to the limited extent provided in Section 5, no other party to this Award Agreement may assign, whether voluntarily or by operation of law, any of its rights and obligations under this Award Agreement, except with the prior written consent of the Company. (e) Notices. Any notice, demand or request required or permitted to be given under this Award Agreement shall be in writing and shall be deemed sufficient when delivered personally or by overnight courier or sent by email, or 48 hours after being deposited in the U.S. mail as certified or registered mail with postage prepaid, addressed to the party to be notified at the most recent address for such party set forth in the Company’s books and records. (f) Severability. If one or more provisions of this Award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Award Agreement, (ii) the balance of the Award Agreement shall be interpreted as if such provision were so excluded and (iii) the balance of the Award Agreement shall be enforceable in accordance with its terms. (g) Construction. This Award Agreement is the result of negotiations between and has been reviewed by each of the parties hereto and their respective counsel, if any; accordingly, this Award Agreement shall be deemed to be the product of all of the parties hereto, and no ambiguity shall be construed in favor of or against any one of the parties hereto. (h) Counterparts. This Award Agreement may be accepted in any number of counterparts, each of which when so accepted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exhibit1028-formofamende.htm"/>
      <w:bookmarkStart w:id="6" w:name="ksexhibit1028formofamende"/>
      <w:bookmarkEnd w:id="5"/>
      <w:bookmarkEnd w:id="6"/>
      <w:r>
        <w:rPr/>
        <w:drawing>
          <wp:inline distT="0" distB="0" distL="0" distR="0">
            <wp:extent cx="10048875" cy="13001625"/>
            <wp:effectExtent l="0" t="0" r="0" b="0"/>
            <wp:docPr id="1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10.28 LIFE360, INC. PSU AWARD GRANT NOTICE (2011 AMENDED AND RESTATED STOCK PLAN) Life360, Inc. (the “Company”) has awarded to you (the “Participant”) the number of performance- stock units (“PSUs” or “Performance Stock Units”) specified and on the terms set forth below in consideration of your services (the “PSU Award”). The PSU Award is subject to all of the terms and conditions as set forth herein and in the Life360, Inc. 2011 Amended and Restated Stock Plan (the “Plan”) and the award agreement (the “Award Agreement”), which are attached hereto and incorporated herein in their entirety. Capitalized terms not explicitly defined herein but defined in the Plan or the Award Agreement shall have the meanings set forth in the Plan or the Award Agreement. Participant: Date of Grant: Vesting Commencement Date: Target Number of PSUs: Vesting Schedule: See Annex I Attached. Notwithstanding the foregoing, vesting shall terminate upon the Participant’s termination of Continuous Service Status. Issuance Schedule: One share of the Company’s Common Stock, will be issued at the time set forth in Section 2 of the Award Agreement for each PSU which vests. Participant Acknowledgements: By your signature below or by electronic acceptance or authentication in a form authorized by the Company, you understand and agree that: • The PSU Award is governed by this PSU Award Grant Notice (the “Grant Notice”), and the provisions of the Plan and the Award Agreement, all of which are made a part of this document. Unless otherwise provided in the Plan, this Grant Notice and the Award Agreement (together, the “PSU Award Agreement”) may not be modified, amended or revised except in a writing signed by you and a duly authorized officer of the Company. • You have read and are familiar with the provisions of the Plan and the PSU Award Agreement. In the event of any conflict between the provisions in the PSU Award Agreement or the terms of the Plan, the terms of the Plan shall control. • The PSU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Exhibit 10.28 written agreement between the Company and you, in each case, that specifies the terms that should govern this PSU Award. LIFE360, INC. By: Signature Title: Date: PARTICIPANT: Signature Date: ATTACHMENTS: Award Agreement, 2011 Amended and Restated Stock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EXHIBIT A TERMS AND CONDITIONS OF PERFORMANCE STOCK UNIT GRANT 1. Grant of Performance Stock Units. The Company hereby grants to Participant under the Plan an Award of Performance Stock Units, subject to all of the terms and conditions in this Award Agreement and the Plan, which is incorporated herein by reference. Subject to Section 13 of the Plan, if there is a conflict between the terms and conditions of the Plan and the terms and conditions of this Award Agreement, the terms and conditions of the Plan will prevail. 2. Company’s Obligation to Pay. Each Performance Stock Unit represents the right to receive a Share on the date it vests. Unless and until the Performance Stock Units will have vested in the manner set forth in this Award Agreement, including the Notice of Grant attached as Part I to this Award Agreement, Participant will have no right to receive Shares pursuant to any such Performance Stock Units. Prior to actual payment of any vested Performance Stock Units, such Performance Stock Units will represent an unsecured obligation of the Company. Any Performance Stock Units that vest in accordance with this Award Agreement will be settled by delivery of whole Shares as set forth herein to Participant (or in the event of Participant’s death, to his or her estate), subject to Participant satisfying any Tax- Related Items as set forth in Section 6. Subject to the provisions of Section 4, such vested Performance Stock Units will be settled by delivery of whole Shares as soon as practicable after vesting, but in each such case within the period ending no later than the date that is two and one- half (2½) months from the end of the Company’s tax year that includes the applicable vesting date. In no event will Participant be permitted, directly or indirectly, to specify the taxable year in which Shares will be issued upon payment of any Performance Stock Units under this Award Agreement. 3. Termination. Except as otherwise provided in the Notice of Grant or this Award Agreement, if Participant’s Continuous Service Status terminates at any time for any reason (the “Termination Date”), all Performance Stock Units for which vesting is no longer possible under the terms of the Notice of Grant attached as Part I to this Award Agreement and this Award Agreement shall be forfeited to the Company on the date that is three (3) months following such Termination Date, and all rights of Participant to such Performance Stock Units shall immediately terminate at such time. Further, for purposes of the Performance Stock Units, Participant’s Continuous Service Status and the Termination Date will be deemed to occur as of the date Participant is no longer actively providing services to the Company, its Parent, Subsidiaries or Affiliates, and, unless otherwise determined by the Company, Participant’s right to vest in the Performance Stock Units will terminate as of the Termination Date and will not be extended by any contractual notice period or any period of “garden leave” or similar notice period mandated under the Applicable Laws in the jurisdiction where Participant is employed or the terms of Participant’s employment agreement, if any. The Company shall have the exclusive discretion to determine when Participant is no longer actively providing services for purposes of the Performance Stock Units (including, subject to the terms of the Plan and Applicable Laws, whether Participant may still be considered to be providing services while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a leave of absence). 4. Administrator Discretion. Notwithstanding anything in the Plan or this Award Agreement to the contrary, if the vesting of the balance, or some lesser portion of the balance, of the Performance Stock Units is accelerated in connection with the termination of Participant’s Continuous Service Status (provided that such termination is a “separation from service” within the meaning of Code Section 409A, as determined by the Company), other than due to death, and if (x) Participant is a “specified employee” within the meaning of Code Section 409A at the time of such termination of Participant’s Continuous Service Status and (y) the payment of such accelerated Performance Stock Units will result in the imposition of additional tax under Code Section 409A if paid to Participant on or within the six (6) month period following termination of Participant’s Continuous Service Status, then the payment of such accelerated Performance Stock Units will not be made until the date six (6) months and one (1) day following the date the termination of Participant’s Continuous Service Status, unless the Participant dies following the termination of his or her Continuous Service Status, in which case, the Performance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Performance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 5. Death of Participant.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 6. Withholding of Taxes. Regardless of any action the Company or Participant’s employer (the “Employer”) takes with respect to any or all applicable national, local, or other tax or social contribution, withholding, required deductions, or other payments, if any, that arise upon the grant or vesting of the Performance Stock Units or the holding or subsequent sale of Shares, and the receipt of dividends, if any, or otherwise in connection with the Performance Stock Units or the Shares (“Tax-Related Items”), Participant acknowledges and agrees that the ultimate liability for all Tax-Related Items legally due by Participant is and remains Participant’s responsibility and may exceed any amount actually withheld by the Company or the Employer. If so requested by the Company, Participant hereby agrees to cooperate with the Company or the Employer, as applicable, and take all actions necessary, as determined by the Company or the Employer, as applicable, to assume liability for all Tax-Related Items to the extent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by Applicable Laws. Participant further acknowledges and agrees that Participant is solely responsible for filing all relevant documentation that may be required in relation to the Performance Stock Units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 payment of the Performance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Performance Stock Units, including the grant or vesting of the Performance Stock Units, the subsequent sale of Shares acquired under the Plan, and the receipt of dividends, if any; and (b) do not commit to and are under no obligation to structure the terms of the Performance Stock Units or any aspect of the Performance Stock Units to reduce or eliminate Participant’s liability for Tax-Related Items, or achieve any particular tax result. Participant also understands that Applicable Laws may require varying Share or Performance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 As a condition to the grant and vesting of the Performance Stock Units and as set forth in Section 9 of the Plan, Participant hereby agrees to make adequate provision for the satisfaction of (and will indemnify the Company and any Parent or Subsidiary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Performance Stock Units (provided that amounts withheld shall not exceed the amount necessary to satisfy the Company’s tax withholding obligations); (iv) by withholding from proceeds of the sale of Shares acquired upon payment of the vested Performance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Participant’s obligations with respect to all Tax-Related Items shall be satisfied by the Company withholding Shares that otherwise would be issued to Participant upon payment of the vested Performance Stock Units. Any Shares withheld pursuant to this Section 6 shall be valued based on the Fair Market Value as of the date the withholding obligations are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Furthermore, Participant agrees to pay the Company or any Parent, Subsidiary, or Employer any Tax-Related Items that cannot be satisfied by the foregoing methods. 7. Rights as Stockholder.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 8. No Guarantee of Continued Service or Grants. PARTICIPANT ACKNOWLEDGES AND AGREES THAT THE VESTING OF THE PERFORMANCE STOCK UNITS PURSUANT TO THE VESTING SCHEDULE HEREOF IS EARNED ONLY BY CONTINUING AS A SERVICE PROVIDER AT THE WILL OF THE COMPANY (OR THE EMPLOYER) AND NOT THROUGH THE ACT OF BEING HIRED, BEING GRANTED THIS PERFORMANCE STOCK UNIT AWARD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EMPLOYER) TO TERMINATE PARTICIPANT’S RELATIONSHIP AS A SERVICE PROVIDER AT ANY TIME, WITH OR WITHOUT CAUSE. Participant also acknowledges and agrees that: (a) the Plan is established voluntarily by the Company, it is discretionary in nature and it may be modified, amended, suspended or terminated by the Company at any time; (b) the grant of Performance Stock Units is voluntary and occasional and does not create any contractual or other right to receive future grants of Performance Stock Units, or benefits in lieu of Performance Stock Units even if Performance Stock Units have been granted repeatedly in the past; (c) all decisions with respect to future awards of Performance Stock Units, if any, will be at the sole discretion of the Company; (d) Participant’s participation in the Plan is voluntary; (e) the Performance Stock Units and the Shares subject to the Performance Stock Units are extraordinary items that do not constitute regular compensation for services rendered to the Company or the Employer, and that are outside the scope of Participant’s employment contract, if any; (f) the Performance Stock Units and the Shares subject to the Performance Stock Units are not intended to replace any pension rights or compensation; (g) the Performance Stock Units and the Shares subject to the Performance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subject to Applicable Laws. 9. Grant is Not Transferable. Except to the limited extent provided in Section 5,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 10. Additional Conditions to Issuance of Stock and Imposition of Other Requirements.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grant or vesting of the Performance Stock Units, or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Performance Stock Units at any time if the issuance of Shares violates or is not in compliance with any Applicable Laws. The Company retains sole discretion to determine if and when it is appropriate to undertake any regulatory registration or filing or other administrative steps in order to achieve such compliance. The Company is under no obligation to undertake any such filing or other steps that would not otherwise be required except in relation to the Plan and grants thereunder and will not assume any liability due to the failure to complete such filing or other steps. Furthermore, the Company reserves the right to impose other requirements on Participant’s participation in the Plan, on the Performance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Performance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Stock Units or the Shares. Notwithstanding any provision herein, the Performance Stock Units and any Shares shall be subject to any special terms and conditions or disclosures as may be set forth in any addendum for Participant’s country (the “Country-Specific Addendum,” which forms part this Award Agreement). Participant also understands and agrees that if he or she works, resides, moves to, or otherwise is 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 11. Lock-Up Agreement. In connection with any public offering of the Company’s securities, Participant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 to exceed 180 days) from the effective date of such offering as may be requested by the Company or such managing underwriters and to execute an agreement reflecting the foregoing as may be requested by the underwriters at the time of the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offering. In order to enforce the restriction set forth above, the Company may impose stop-transfer instructions with respect to the Shares acquired under this Award Agreement until the end of the applicable restriction period. The Company’s underwriters shall be beneficiaries of the agreement set forth in this Section. 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provisions remain in effect at the time of the transfer. 12. Limitations on Transfer. Participant acknowledges and agrees that the Shares purchased under this Award Agreement are subject to (i) the terms and conditions that apply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the Company’s Common Stock, as set forth in the Company’s Bylaws as in effect at the time of any proposed transfer (the “Bylaw Provisions”), and (ii) any other limitation or restriction on transfer created by Applicable Laws. Participant shall not assign, encumber or dispose of any interest in the Shares except to the extent permitted by, and in compliance with the Bylaw Provisions and Applicable Laws. 13. Investment Representations. The Participant hereby covenants that (a) any sale of any Share acquired upon the vesting of the Performance Stock Units shall be made either pursuant to an effective registration statement under the Securities Act of 1933, as amended (the “Securities Act”), and any applicable state securities laws, or pursuant to an exemption from registration under the Securities Act and such state securities laws and (b) the Participant shall comply with all regulations and requirements of any regulatory authority having control of or supervision over the issuance of the shares and, in connection therewith, shall execute any documents which the Company shall in its sole discretion deem necessary or advisable. 14. Tax Representations. Participant understands that Participant may suffer adverse tax consequences as a result of Participant’s receipt of the Performance Stock Units, the vesting and/or payment of the Performance Stock Units, the issuance of Shares allocated to the Performance Stock Units and/or the disposition of such Shares. Participant represents that Participant has consulted any tax consultants Participant deems advisable in connection with the receipt of the Performance Stock Units, the vesting and/or payment of the Performance Stock Units, the issuance of Shares allocated to the Performance Stock Units and/or the disposition of such Shares and that Participant is not relying on the Company for any tax advice. 15. Plan Governs.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will have the meaning set forth in the Plan. 16. Administrator Authority.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Performance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 17. Electronic Delivery and Acceptance; Translation. The Company may, in its sole discretion, decide to deliver any documents related to Participant’s current or future participation in the Plan, this Award, the Shares subject to this Award, any other securities of the Company or any other Company-related documents, by electronic means. By accepting this Award, whether electronically or otherwise, Participant hereby (i) consents to receive such documents by electronic means, (ii) consents to the use of electronic signatures, and (iii) agrees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If Participant has received this Award Agreement, including appendices, or any other document related to the Plan translated into a language other than English, and the meaning of the translated version is different than the English version, the English version will control. 18. Data Privacy. Participant hereby explicitly and unambiguously consents to the collection, use and transfer, in electronic or other form, of Participant’s Personal Data (as described below) by and among, as applicable, the Company, any Parent, Subsidiary, or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Performance Stock Unit. 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Parent, Subsidiary, or Affiliate, details of all Performance Stock Units or any other entitlement to Shares awarded, canceled, exercised, vested, unvested or outstanding in Participant’s favor (“Personal Data”).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 Participant should also refer to any data privacy policy implemented by the Company (which will be available to Participant separately and may be updated from time to time) for more information regarding the collection, use, storage, and transfer of Participant’s Personal Data. 19. Foreign Exchange Fluctuations and Restrictions. Participant understands and agrees that the future value of the underlying Shares is unknown and cannot be predicted with certainty and may decrease. Participant also understands that the Company, and any Parent, Subsidiary and Affiliate, are not responsible for any foreign exchange fluctuation between local currency and the United States Dollar or the selection by the Company, or any Parent, Subsidiary or Affiliate, in its sole discretion of an applicable foreign currency exchange rate that may affect the value of the Performance Stock Units or Shares received (or the calculation of income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 20. Amendment, Suspension or Termination of the Plan. By accepting this Award, Participant expressly warrants that he or she has received an Award of Performance Stock Units under the Plan, and has received, read and understood a description of the Plan. Participant understands that the Plan is discretionary in nature and may be amended, suspended or terminated by the Company at any time. 21. Miscellaneous. (a) Governing Law. The validity, interpretation, construction and performance of this Award Agreement, and all acts and transactions pursuant 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Award Agreement, the parties hereby submit and consent to the exclusive jurisdiction of the state of California and agree that any such litigation shall be conducted only in the courts of California or the federal courts of the United States located in California and no other courts. (b) Entire Agreement. This Award Agreement sets forth the entire agreement and understanding of the parties relating to the subject matter herein and supersedes all prior or contemporaneous discussions, understandings and agreements, whether oral or written, between them relating to the subject matter hereof. (c) Amendments and Waivers. No modification of or amendment to this Award Agreement that is adverse to the Participant, nor any waiver of any rights under this Award Agreement, shall be effective unless in writing signed by the parties to this Award Agreement. No delay or failure to require performance of any provision of this Award Agreement shall constitute a waiver of that provision as to that or any other instance.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Performance Stock Units. (d) Successors and Assigns. Except as otherwise provided in this Award Agreement, this Award Agreement, and the rights and obligations of the parties hereunder, will be binding upon and inure to the benefit of their respective successors, assigns, heirs, executors, administrators and legal representatives. The Company may assign any of its rights and obligations under this Award Agreement. Except to the limited extent provided in Section 5, no other party to this Award Agreement may assign, whether voluntarily or by operation of law, any of its rights and obligations under this Award Agreement, except with the prior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10.28 consent of the Company. (e) Notices. Any notice, demand or request required or permitted to be given under this Award Agreement shall be in writing and shall be deemed sufficient when delivered personally or by overnight courier or sent by email, or 48 hours after being deposited in the U.S. mail as certified or registered mail with postage prepaid, addressed to the party to be notified at the most recent address for such party set forth in the Company’s books and records. (f) Severability. If one or more provisions of this Award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Award Agreement, (ii) the balance of the Award Agreement shall be interpreted as if such provision were so excluded and (iii) the balance of the Award Agreement shall be enforceable in accordance with its terms. (g) Construction. This Award Agreement is the result of negotiations between and has been reviewed by each of the parties hereto and their respective counsel, if any; accordingly, this Award Agreement shall be deemed to be the product of all of the parties hereto, and no ambiguity shall be construed in favor of or against any one of the parties hereto. (h) Counterparts. This Award Agreement may be accepted in any number of counterparts, each of which when so accepted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77"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23.1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477"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INDEPENDENT REGISTERED PUBLIC ACCOUNTING FIRM</w:t>
      </w:r>
    </w:p>
    <w:p>
      <w:pPr>
        <w:pStyle w:val="TextBody"/>
        <w:bidi w:val="0"/>
        <w:spacing w:before="0" w:after="0"/>
        <w:jc w:val="left"/>
        <w:rPr/>
      </w:pPr>
      <w:r>
        <w:rPr/>
      </w:r>
    </w:p>
    <w:p>
      <w:pPr>
        <w:pStyle w:val="TextBody"/>
        <w:bidi w:val="0"/>
        <w:spacing w:lineRule="auto" w:line="489" w:before="0" w:after="240"/>
        <w:jc w:val="both"/>
        <w:rPr>
          <w:rFonts w:ascii="Times New Roman;serif" w:hAnsi="Times New Roman;serif"/>
          <w:b w:val="false"/>
          <w:color w:val="000000"/>
          <w:sz w:val="20"/>
        </w:rPr>
      </w:pPr>
      <w:r>
        <w:rPr>
          <w:rFonts w:ascii="Times New Roman;serif" w:hAnsi="Times New Roman;serif"/>
          <w:b w:val="false"/>
          <w:color w:val="000000"/>
          <w:sz w:val="20"/>
        </w:rPr>
        <w:t>Life360, Inc.</w:t>
        <w:br/>
        <w:t xml:space="preserve">San Mateo, California </w:t>
      </w:r>
    </w:p>
    <w:p>
      <w:pPr>
        <w:pStyle w:val="TextBody"/>
        <w:bidi w:val="0"/>
        <w:spacing w:lineRule="auto" w:line="39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this Registration Statement Nos. 333-279271 on Form S-3 and 333-268529, 333-274727, 333-277598, and 333-285348 on Form S-8 of our reports dated March 02, 2026, relating to the financial statements of Life360, Inc. and the effectiveness of Life360, Inc.'s internal control over financial reporting appearing in this Annual Report on Form 10-K for the year ended December 31, 2025. </w:t>
      </w:r>
    </w:p>
    <w:p>
      <w:pPr>
        <w:pStyle w:val="TextBody"/>
        <w:bidi w:val="0"/>
        <w:spacing w:before="0" w:after="0"/>
        <w:jc w:val="left"/>
        <w:rPr/>
      </w:pPr>
      <w:r>
        <w:rPr/>
      </w:r>
    </w:p>
    <w:p>
      <w:pPr>
        <w:pStyle w:val="TextBody"/>
        <w:bidi w:val="0"/>
        <w:spacing w:lineRule="auto" w:line="477"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Deloitte &amp; Touche LLP</w:t>
      </w:r>
    </w:p>
    <w:p>
      <w:pPr>
        <w:pStyle w:val="TextBody"/>
        <w:bidi w:val="0"/>
        <w:spacing w:lineRule="auto" w:line="477"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San Francisco, California</w:t>
      </w:r>
    </w:p>
    <w:p>
      <w:pPr>
        <w:pStyle w:val="TextBody"/>
        <w:bidi w:val="0"/>
        <w:spacing w:lineRule="auto" w:line="477"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 Lauren Antonoff, certify that: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Life360, Inc. (the “registrant”);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658"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Lauren Antonoff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Lauren Antonoff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 Russell Burke, certify that: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Life360, Inc. (the “registrant”);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673"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Annual Report of Life360, Inc. (the “Company”), on Form 10-K for the year ended December 31, 2025 (the “Report”), I, Lauren Antonoff, Chief Executive Officer of the Company, hereby certify pursuant to 18 U.S.C. § 1350, as adopted pursuant to § 906 of the Sarbanes-Oxley Act of 2002 that, to my knowledge:</w:t>
      </w:r>
    </w:p>
    <w:p>
      <w:pPr>
        <w:pStyle w:val="TextBody"/>
        <w:bidi w:val="0"/>
        <w:spacing w:before="0" w:after="240"/>
        <w:ind w:left="0" w:right="0" w:firstLine="720"/>
        <w:jc w:val="left"/>
        <w:rPr/>
      </w:pPr>
      <w:r>
        <w:rPr/>
      </w:r>
    </w:p>
    <w:p>
      <w:pPr>
        <w:pStyle w:val="TextBody"/>
        <w:bidi w:val="0"/>
        <w:spacing w:lineRule="auto" w:line="240"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240"/>
        <w:ind w:left="0" w:right="0" w:firstLine="720"/>
        <w:jc w:val="left"/>
        <w:rPr/>
      </w:pPr>
      <w:r>
        <w:rPr/>
      </w:r>
    </w:p>
    <w:p>
      <w:pPr>
        <w:pStyle w:val="TextBody"/>
        <w:bidi w:val="0"/>
        <w:spacing w:lineRule="auto" w:line="240"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658"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2"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Lauren Antonoff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Lauren Antonoff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Annual Report of Life360, Inc. (the “Company”), on Form 10-K for the year ended December 31, 2025 (the “Report”), I, Russell Burke, Chief Financial Officer of the Company, hereby certify pursuant to 18 U.S.C. § 1350, as adopted pursuant to § 906 of the Sarbanes-Oxley Act of 2002 that, to my knowledge:</w:t>
      </w:r>
    </w:p>
    <w:p>
      <w:pPr>
        <w:pStyle w:val="TextBody"/>
        <w:bidi w:val="0"/>
        <w:spacing w:before="0" w:after="240"/>
        <w:ind w:left="0" w:right="0" w:firstLine="72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240"/>
        <w:ind w:left="0" w:right="0" w:firstLine="72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673"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2"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1760/000119312524152060/d844406dex31.htm" TargetMode="External"/><Relationship Id="rId4" Type="http://schemas.openxmlformats.org/officeDocument/2006/relationships/hyperlink" Target="https://www.sec.gov/Archives/edgar/data/1581760/000119312524152060/d844406dex32.htm" TargetMode="External"/><Relationship Id="rId5" Type="http://schemas.openxmlformats.org/officeDocument/2006/relationships/hyperlink" Target="https://www.sec.gov/Archives/edgar/data/1581760/000119312522120522/d328928dex41.htm" TargetMode="External"/><Relationship Id="rId6" Type="http://schemas.openxmlformats.org/officeDocument/2006/relationships/hyperlink" Target="https://www.sec.gov/Archives/edgar/data/1581760/000158176025000008/exhibit42descriptionofcapi.htm" TargetMode="External"/><Relationship Id="rId7" Type="http://schemas.openxmlformats.org/officeDocument/2006/relationships/hyperlink" Target="https://www.sec.gov/Archives/edgar/data/1581760/000114036125021548/ef20050207_ex4-1.htm" TargetMode="External"/><Relationship Id="rId8" Type="http://schemas.openxmlformats.org/officeDocument/2006/relationships/hyperlink" Target="https://www.sec.gov/Archives/edgar/data/1581760/000114036125021548/ef20050207_ex4-2.htm" TargetMode="External"/><Relationship Id="rId9" Type="http://schemas.openxmlformats.org/officeDocument/2006/relationships/hyperlink" Target="https://www.sec.gov/Archives/edgar/data/1581760/000119312522120522/d328928dex101.htm" TargetMode="External"/><Relationship Id="rId10" Type="http://schemas.openxmlformats.org/officeDocument/2006/relationships/hyperlink" Target="https://www.sec.gov/Archives/edgar/data/1581760/000119312522120522/d328928dex102.htm" TargetMode="External"/><Relationship Id="rId11" Type="http://schemas.openxmlformats.org/officeDocument/2006/relationships/hyperlink" Target="https://www.sec.gov/Archives/edgar/data/1581760/000158176024000006/exhibit103-life360fy23xlif.htm" TargetMode="External"/><Relationship Id="rId12" Type="http://schemas.openxmlformats.org/officeDocument/2006/relationships/hyperlink" Target="https://www.sec.gov/Archives/edgar/data/1581760/000158176024000006/exhibit104-life360fy23xfor.htm" TargetMode="External"/><Relationship Id="rId13" Type="http://schemas.openxmlformats.org/officeDocument/2006/relationships/hyperlink" Target="https://www.sec.gov/Archives/edgar/data/1581760/000119312522120522/d328928dex105.htm" TargetMode="External"/><Relationship Id="rId14" Type="http://schemas.openxmlformats.org/officeDocument/2006/relationships/hyperlink" Target="https://www.sec.gov/Archives/edgar/data/1581760/000119312522120522/d328928dex106.htm" TargetMode="External"/><Relationship Id="rId15" Type="http://schemas.openxmlformats.org/officeDocument/2006/relationships/hyperlink" Target="https://www.sec.gov/Archives/edgar/data/1581760/000119312522172365/d328928dex1013.htm" TargetMode="External"/><Relationship Id="rId16" Type="http://schemas.openxmlformats.org/officeDocument/2006/relationships/hyperlink" Target="https://www.sec.gov/Archives/edgar/data/1581760/000158176024000006/exhibit1012amendmentno1tod.htm" TargetMode="External"/><Relationship Id="rId17" Type="http://schemas.openxmlformats.org/officeDocument/2006/relationships/hyperlink" Target="https://www.sec.gov/Archives/edgar/data/1581760/000119312522120522/d328928dex1015.htm" TargetMode="External"/><Relationship Id="rId18" Type="http://schemas.openxmlformats.org/officeDocument/2006/relationships/hyperlink" Target="https://www.sec.gov/Archives/edgar/data/1581760/000119312522120522/d328928dex1016.htm" TargetMode="External"/><Relationship Id="rId19" Type="http://schemas.openxmlformats.org/officeDocument/2006/relationships/hyperlink" Target="https://www.sec.gov/Archives/edgar/data/1581760/000119312522120522/d328928dex1017.htm" TargetMode="External"/><Relationship Id="rId20" Type="http://schemas.openxmlformats.org/officeDocument/2006/relationships/hyperlink" Target="https://www.sec.gov/Archives/edgar/data/1581760/000119312522172365/d328928dex1035.htm" TargetMode="External"/><Relationship Id="rId21" Type="http://schemas.openxmlformats.org/officeDocument/2006/relationships/hyperlink" Target="https://www.sec.gov/Archives/edgar/data/1581760/000119312522172365/d328928dex1036.htm" TargetMode="External"/><Relationship Id="rId22" Type="http://schemas.openxmlformats.org/officeDocument/2006/relationships/hyperlink" Target="https://www.sec.gov/Archives/edgar/data/1581760/000119312522172365/d328928dex1037.htm" TargetMode="External"/><Relationship Id="rId23" Type="http://schemas.openxmlformats.org/officeDocument/2006/relationships/hyperlink" Target="https://www.sec.gov/Archives/edgar/data/1581760/000158176024000006/exhibit1026-life360xnedapp.htm" TargetMode="External"/><Relationship Id="rId24" Type="http://schemas.openxmlformats.org/officeDocument/2006/relationships/hyperlink" Target="https://www.sec.gov/Archives/edgar/data/1581760/000158176024000031/exhibit101-life360q124xsev.htm" TargetMode="External"/><Relationship Id="rId25" Type="http://schemas.openxmlformats.org/officeDocument/2006/relationships/hyperlink" Target="https://www.sec.gov/Archives/edgar/data/1581760/000158176024000031/exhibit102-life360q124xbur.htm" TargetMode="External"/><Relationship Id="rId26" Type="http://schemas.openxmlformats.org/officeDocument/2006/relationships/hyperlink" Target="https://www.sec.gov/Archives/edgar/data/1581760/000158176024000031/exhibit103-life360q124xemp.htm" TargetMode="External"/><Relationship Id="rId27" Type="http://schemas.openxmlformats.org/officeDocument/2006/relationships/hyperlink" Target="https://www.sec.gov/Archives/edgar/data/1581760/000158176024000104/exhibit101-jabil2024msa.htm" TargetMode="External"/><Relationship Id="rId28" Type="http://schemas.openxmlformats.org/officeDocument/2006/relationships/hyperlink" Target="https://www.sec.gov/Archives/edgar/data/1581760/000158176025000008/exhibit1031-hubbleagreemen.htm" TargetMode="External"/><Relationship Id="rId29" Type="http://schemas.openxmlformats.org/officeDocument/2006/relationships/hyperlink" Target="https://www.sec.gov/Archives/edgar/data/1581760/000114036125021548/ef20050207_ex10-1.htm" TargetMode="External"/><Relationship Id="rId30" Type="http://schemas.openxmlformats.org/officeDocument/2006/relationships/hyperlink" Target="https://www.sec.gov/Archives/edgar/data/1581760/000158176025000180/exhibit102-life360q225xs.htm" TargetMode="External"/><Relationship Id="rId31" Type="http://schemas.openxmlformats.org/officeDocument/2006/relationships/hyperlink" Target="https://www.sec.gov/Archives/edgar/data/1581760/000158176025000180/exhibit103-life360q225xc.htm" TargetMode="External"/><Relationship Id="rId32" Type="http://schemas.openxmlformats.org/officeDocument/2006/relationships/hyperlink" Target="https://www.sec.gov/Archives/edgar/data/1581760/000158176025000224/exhibit101-promotionlett.htm" TargetMode="External"/><Relationship Id="rId33" Type="http://schemas.openxmlformats.org/officeDocument/2006/relationships/hyperlink" Target="https://www.sec.gov/Archives/edgar/data/1581760/000158176025000224/exhibit102-promotionlett.htm" TargetMode="External"/><Relationship Id="rId34" Type="http://schemas.openxmlformats.org/officeDocument/2006/relationships/hyperlink" Target="https://www.sec.gov/Archives/edgar/data/1581760/000158176025000008/exhibit191insidertradingpo.htm" TargetMode="External"/><Relationship Id="rId35" Type="http://schemas.openxmlformats.org/officeDocument/2006/relationships/hyperlink" Target="https://www.sec.gov/Archives/edgar/data/1581760/000119312522120522/d328928dex211.htm" TargetMode="External"/><Relationship Id="rId36" Type="http://schemas.openxmlformats.org/officeDocument/2006/relationships/hyperlink" Target="https://www.sec.gov/Archives/edgar/data/1581760/000158176025000008/exhibit971-life360xboardbo.htm" TargetMode="External"/><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5.jpeg"/><Relationship Id="rId41" Type="http://schemas.openxmlformats.org/officeDocument/2006/relationships/image" Target="media/image6.jpeg"/><Relationship Id="rId42" Type="http://schemas.openxmlformats.org/officeDocument/2006/relationships/image" Target="media/image7.jpeg"/><Relationship Id="rId43" Type="http://schemas.openxmlformats.org/officeDocument/2006/relationships/image" Target="media/image8.jpeg"/><Relationship Id="rId44" Type="http://schemas.openxmlformats.org/officeDocument/2006/relationships/image" Target="media/image9.jpeg"/><Relationship Id="rId45" Type="http://schemas.openxmlformats.org/officeDocument/2006/relationships/image" Target="media/image10.jpeg"/><Relationship Id="rId46" Type="http://schemas.openxmlformats.org/officeDocument/2006/relationships/image" Target="media/image11.jpeg"/><Relationship Id="rId47" Type="http://schemas.openxmlformats.org/officeDocument/2006/relationships/image" Target="media/image12.jpeg"/><Relationship Id="rId48" Type="http://schemas.openxmlformats.org/officeDocument/2006/relationships/image" Target="media/image13.jpeg"/><Relationship Id="rId49" Type="http://schemas.openxmlformats.org/officeDocument/2006/relationships/image" Target="media/image14.jpeg"/><Relationship Id="rId50" Type="http://schemas.openxmlformats.org/officeDocument/2006/relationships/image" Target="media/image15.jpeg"/><Relationship Id="rId51" Type="http://schemas.openxmlformats.org/officeDocument/2006/relationships/image" Target="media/image16.jpeg"/><Relationship Id="rId52" Type="http://schemas.openxmlformats.org/officeDocument/2006/relationships/image" Target="media/image17.jpeg"/><Relationship Id="rId53" Type="http://schemas.openxmlformats.org/officeDocument/2006/relationships/image" Target="media/image18.jpeg"/><Relationship Id="rId54" Type="http://schemas.openxmlformats.org/officeDocument/2006/relationships/image" Target="media/image19.jpeg"/><Relationship Id="rId55" Type="http://schemas.openxmlformats.org/officeDocument/2006/relationships/image" Target="media/image20.jpeg"/><Relationship Id="rId56" Type="http://schemas.openxmlformats.org/officeDocument/2006/relationships/image" Target="media/image21.jpeg"/><Relationship Id="rId57" Type="http://schemas.openxmlformats.org/officeDocument/2006/relationships/image" Target="media/image22.jpeg"/><Relationship Id="rId58" Type="http://schemas.openxmlformats.org/officeDocument/2006/relationships/image" Target="media/image23.jpeg"/><Relationship Id="rId59" Type="http://schemas.openxmlformats.org/officeDocument/2006/relationships/image" Target="media/image24.jpeg"/><Relationship Id="rId60" Type="http://schemas.openxmlformats.org/officeDocument/2006/relationships/image" Target="media/image25.jpeg"/><Relationship Id="rId61" Type="http://schemas.openxmlformats.org/officeDocument/2006/relationships/image" Target="media/image26.jpeg"/><Relationship Id="rId62" Type="http://schemas.openxmlformats.org/officeDocument/2006/relationships/image" Target="media/image27.jpeg"/><Relationship Id="rId63" Type="http://schemas.openxmlformats.org/officeDocument/2006/relationships/image" Target="media/image28.jpeg"/><Relationship Id="rId64" Type="http://schemas.openxmlformats.org/officeDocument/2006/relationships/image" Target="media/image29.jpeg"/><Relationship Id="rId65" Type="http://schemas.openxmlformats.org/officeDocument/2006/relationships/image" Target="media/image30.jpeg"/><Relationship Id="rId66" Type="http://schemas.openxmlformats.org/officeDocument/2006/relationships/image" Target="media/image31.jpeg"/><Relationship Id="rId67" Type="http://schemas.openxmlformats.org/officeDocument/2006/relationships/image" Target="media/image32.jpeg"/><Relationship Id="rId68" Type="http://schemas.openxmlformats.org/officeDocument/2006/relationships/image" Target="media/image33.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84747</Words>
  <Characters>474687</Characters>
  <CharactersWithSpaces>557020</CharactersWithSpaces>
  <Paragraphs>4480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exhibit1028-formofamende</dc:title>
</cp:coreProperties>
</file>