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52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3"/>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16"/>
          </w:tcPr>
          <w:p>
            <w:pPr>
              <w:ind w:left="8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60" w:type="dxa"/>
            <w:vAlign w:val="bottom"/>
            <w:tcBorders>
              <w:bottom w:val="single" w:sz="8" w:color="808080"/>
            </w:tcBorders>
          </w:tcPr>
          <w:p>
            <w:pPr>
              <w:spacing w:after="0"/>
              <w:rPr>
                <w:sz w:val="23"/>
                <w:szCs w:val="23"/>
                <w:color w:val="auto"/>
              </w:rPr>
            </w:pPr>
          </w:p>
        </w:tc>
        <w:tc>
          <w:tcPr>
            <w:tcW w:w="9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60" w:type="dxa"/>
            <w:vAlign w:val="bottom"/>
            <w:gridSpan w:val="4"/>
            <w:vMerge w:val="restart"/>
          </w:tcPr>
          <w:p>
            <w:pPr>
              <w:jc w:val="center"/>
              <w:ind w:right="13"/>
              <w:spacing w:after="0" w:line="143" w:lineRule="exact"/>
              <w:rPr>
                <w:sz w:val="20"/>
                <w:szCs w:val="20"/>
                <w:color w:val="auto"/>
              </w:rPr>
            </w:pPr>
            <w:r>
              <w:rPr>
                <w:rFonts w:ascii="Arial" w:cs="Arial" w:eastAsia="Arial" w:hAnsi="Arial"/>
                <w:sz w:val="13"/>
                <w:szCs w:val="13"/>
                <w:color w:val="auto"/>
              </w:rPr>
              <w:t>Washington, D.C. 20549</w:t>
            </w: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7"/>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16"/>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808080"/>
              <w:bottom w:val="single" w:sz="8" w:color="2C2C2C"/>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80" w:type="dxa"/>
            <w:vAlign w:val="bottom"/>
            <w:gridSpan w:val="16"/>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7"/>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20" w:type="dxa"/>
            <w:vAlign w:val="bottom"/>
            <w:gridSpan w:val="14"/>
            <w:vMerge w:val="restart"/>
          </w:tcPr>
          <w:p>
            <w:pPr>
              <w:jc w:val="center"/>
              <w:ind w:left="74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2"/>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400" w:type="dxa"/>
            <w:vAlign w:val="bottom"/>
            <w:gridSpan w:val="3"/>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900" w:type="dxa"/>
            <w:vAlign w:val="bottom"/>
          </w:tcPr>
          <w:p>
            <w:pPr>
              <w:spacing w:after="0"/>
              <w:rPr>
                <w:sz w:val="6"/>
                <w:szCs w:val="6"/>
                <w:color w:val="auto"/>
              </w:rPr>
            </w:pPr>
          </w:p>
        </w:tc>
        <w:tc>
          <w:tcPr>
            <w:tcW w:w="5520" w:type="dxa"/>
            <w:vAlign w:val="bottom"/>
            <w:gridSpan w:val="14"/>
            <w:vMerge w:val="continue"/>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20" w:type="dxa"/>
            <w:vAlign w:val="bottom"/>
            <w:gridSpan w:val="14"/>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40" w:type="dxa"/>
            <w:vAlign w:val="bottom"/>
            <w:gridSpan w:val="7"/>
          </w:tcPr>
          <w:p>
            <w:pPr>
              <w:jc w:val="center"/>
              <w:ind w:right="17"/>
              <w:spacing w:after="0"/>
              <w:rPr>
                <w:sz w:val="20"/>
                <w:szCs w:val="20"/>
                <w:color w:val="auto"/>
              </w:rPr>
            </w:pPr>
            <w:r>
              <w:rPr>
                <w:rFonts w:ascii="Arial" w:cs="Arial" w:eastAsia="Arial" w:hAnsi="Arial"/>
                <w:sz w:val="13"/>
                <w:szCs w:val="13"/>
                <w:color w:val="auto"/>
              </w:rPr>
              <w:t>or Section 30(h) of the Investment Company Act of 1940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3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9"/>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7"/>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gridSpan w:val="1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rFonts w:ascii="Arial" w:cs="Arial" w:eastAsia="Arial" w:hAnsi="Arial"/>
                <w:sz w:val="21"/>
                <w:szCs w:val="21"/>
                <w:color w:val="0000EE"/>
                <w:w w:val="91"/>
              </w:rPr>
            </w:pPr>
            <w:hyperlink r:id="rId8">
              <w:r>
                <w:rPr>
                  <w:rFonts w:ascii="Arial" w:cs="Arial" w:eastAsia="Arial" w:hAnsi="Arial"/>
                  <w:sz w:val="21"/>
                  <w:szCs w:val="21"/>
                  <w:color w:val="0000EE"/>
                  <w:w w:val="91"/>
                </w:rPr>
                <w:t>Kapoor Samir</w:t>
              </w:r>
            </w:hyperlink>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6"/>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Life360,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LIFX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8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vMerge w:val="restart"/>
          </w:tcPr>
          <w:p>
            <w:pPr>
              <w:ind w:left="80"/>
              <w:spacing w:after="0"/>
              <w:rPr>
                <w:sz w:val="20"/>
                <w:szCs w:val="20"/>
                <w:color w:val="auto"/>
              </w:rPr>
            </w:pPr>
            <w:r>
              <w:rPr>
                <w:rFonts w:ascii="Arial" w:cs="Arial" w:eastAsia="Arial" w:hAnsi="Arial"/>
                <w:sz w:val="13"/>
                <w:szCs w:val="13"/>
                <w:color w:val="auto"/>
              </w:rPr>
              <w:t>Director</w:t>
            </w:r>
          </w:p>
        </w:tc>
        <w:tc>
          <w:tcPr>
            <w:tcW w:w="1720" w:type="dxa"/>
            <w:vAlign w:val="bottom"/>
            <w:gridSpan w:val="6"/>
            <w:vMerge w:val="restart"/>
          </w:tcPr>
          <w:p>
            <w:pPr>
              <w:ind w:left="4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0000EE"/>
            </w:tcBorders>
            <w:gridSpan w:val="2"/>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17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20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17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80"/>
              <w:spacing w:after="0" w:line="147" w:lineRule="exact"/>
              <w:rPr>
                <w:sz w:val="20"/>
                <w:szCs w:val="20"/>
                <w:color w:val="auto"/>
              </w:rPr>
            </w:pPr>
            <w:r>
              <w:rPr>
                <w:rFonts w:ascii="Arial" w:cs="Arial" w:eastAsia="Arial" w:hAnsi="Arial"/>
                <w:sz w:val="13"/>
                <w:szCs w:val="13"/>
                <w:color w:val="auto"/>
              </w:rPr>
              <w:t>Officer (give title</w:t>
            </w:r>
          </w:p>
        </w:tc>
        <w:tc>
          <w:tcPr>
            <w:tcW w:w="1720" w:type="dxa"/>
            <w:vAlign w:val="bottom"/>
            <w:gridSpan w:val="6"/>
            <w:vMerge w:val="restart"/>
          </w:tcPr>
          <w:p>
            <w:pPr>
              <w:ind w:left="46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17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Borders>
              <w:top w:val="single" w:sz="8" w:color="EEEEEE"/>
            </w:tcBorders>
          </w:tcPr>
          <w:p>
            <w:pPr>
              <w:spacing w:after="0"/>
              <w:rPr>
                <w:sz w:val="11"/>
                <w:szCs w:val="11"/>
                <w:color w:val="auto"/>
              </w:rPr>
            </w:pPr>
          </w:p>
        </w:tc>
        <w:tc>
          <w:tcPr>
            <w:tcW w:w="11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gridSpan w:val="2"/>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7"/>
            <w:vMerge w:val="continue"/>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3"/>
                <w:szCs w:val="13"/>
                <w:color w:val="auto"/>
              </w:rPr>
              <w:t>below)</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460"/>
              <w:spacing w:after="0" w:line="129"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40" w:type="dxa"/>
            <w:vAlign w:val="bottom"/>
            <w:gridSpan w:val="6"/>
          </w:tcPr>
          <w:p>
            <w:pPr>
              <w:ind w:left="160"/>
              <w:spacing w:after="0"/>
              <w:rPr>
                <w:sz w:val="20"/>
                <w:szCs w:val="20"/>
                <w:color w:val="auto"/>
              </w:rPr>
            </w:pPr>
            <w:r>
              <w:rPr>
                <w:rFonts w:ascii="Arial" w:cs="Arial" w:eastAsia="Arial" w:hAnsi="Arial"/>
                <w:sz w:val="17"/>
                <w:szCs w:val="17"/>
                <w:color w:val="0000FF"/>
              </w:rPr>
              <w:t>05/18/2023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vMerge w:val="restart"/>
          </w:tcPr>
          <w:p>
            <w:pPr>
              <w:ind w:left="260"/>
              <w:spacing w:after="0"/>
              <w:rPr>
                <w:sz w:val="20"/>
                <w:szCs w:val="20"/>
                <w:color w:val="auto"/>
              </w:rPr>
            </w:pPr>
            <w:r>
              <w:rPr>
                <w:rFonts w:ascii="Arial" w:cs="Arial" w:eastAsia="Arial" w:hAnsi="Arial"/>
                <w:sz w:val="17"/>
                <w:szCs w:val="17"/>
                <w:color w:val="0000FF"/>
                <w:w w:val="96"/>
              </w:rPr>
              <w:t>Chief Technology Officer</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3"/>
            <w:vMerge w:val="restart"/>
          </w:tcPr>
          <w:p>
            <w:pPr>
              <w:spacing w:after="0" w:line="180" w:lineRule="exact"/>
              <w:rPr>
                <w:sz w:val="20"/>
                <w:szCs w:val="20"/>
                <w:color w:val="auto"/>
              </w:rPr>
            </w:pPr>
            <w:r>
              <w:rPr>
                <w:rFonts w:ascii="Arial" w:cs="Arial" w:eastAsia="Arial" w:hAnsi="Arial"/>
                <w:sz w:val="17"/>
                <w:szCs w:val="17"/>
                <w:color w:val="0000FF"/>
                <w:w w:val="96"/>
              </w:rPr>
              <w:t>C/O LIFE360, INC.</w:t>
            </w: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1900 SOUTH NORFOLK STREET, SUITE 310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gridSpan w:val="8"/>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19"/>
                <w:szCs w:val="19"/>
                <w:color w:val="auto"/>
              </w:rPr>
            </w:pPr>
          </w:p>
        </w:tc>
        <w:tc>
          <w:tcPr>
            <w:tcW w:w="3400" w:type="dxa"/>
            <w:vAlign w:val="bottom"/>
            <w:gridSpan w:val="1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2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140" w:type="dxa"/>
            <w:vAlign w:val="bottom"/>
            <w:gridSpan w:val="11"/>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10"/>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SAN MATEO   CA</w:t>
            </w:r>
          </w:p>
        </w:tc>
        <w:tc>
          <w:tcPr>
            <w:tcW w:w="1280" w:type="dxa"/>
            <w:vAlign w:val="bottom"/>
            <w:vMerge w:val="restart"/>
          </w:tcPr>
          <w:p>
            <w:pPr>
              <w:ind w:left="160"/>
              <w:spacing w:after="0"/>
              <w:rPr>
                <w:sz w:val="20"/>
                <w:szCs w:val="20"/>
                <w:color w:val="auto"/>
              </w:rPr>
            </w:pPr>
            <w:r>
              <w:rPr>
                <w:rFonts w:ascii="Arial" w:cs="Arial" w:eastAsia="Arial" w:hAnsi="Arial"/>
                <w:sz w:val="17"/>
                <w:szCs w:val="17"/>
                <w:color w:val="0000FF"/>
              </w:rPr>
              <w:t>94403</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2940" w:type="dxa"/>
            <w:vAlign w:val="bottom"/>
            <w:tcBorders>
              <w:bottom w:val="single" w:sz="8" w:color="2C2C2C"/>
            </w:tcBorders>
            <w:gridSpan w:val="6"/>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402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0"/>
                <w:szCs w:val="20"/>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020" w:type="dxa"/>
            <w:vAlign w:val="bottom"/>
            <w:gridSpan w:val="10"/>
            <w:vMerge w:val="continue"/>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0" w:type="dxa"/>
            <w:vAlign w:val="bottom"/>
            <w:gridSpan w:val="19"/>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1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0"/>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6"/>
          </w:tcPr>
          <w:p>
            <w:pPr>
              <w:ind w:left="6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24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gridSpan w:val="6"/>
          </w:tcPr>
          <w:p>
            <w:pPr>
              <w:ind w:left="62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5"/>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50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900" w:type="dxa"/>
            <w:vAlign w:val="bottom"/>
          </w:tcPr>
          <w:p>
            <w:pPr>
              <w:spacing w:after="0"/>
              <w:rPr>
                <w:sz w:val="24"/>
                <w:szCs w:val="24"/>
                <w:color w:val="auto"/>
              </w:rPr>
            </w:pPr>
          </w:p>
        </w:tc>
        <w:tc>
          <w:tcPr>
            <w:tcW w:w="1540" w:type="dxa"/>
            <w:vAlign w:val="bottom"/>
            <w:gridSpan w:val="5"/>
          </w:tcPr>
          <w:p>
            <w:pPr>
              <w:ind w:left="720"/>
              <w:spacing w:after="0"/>
              <w:rPr>
                <w:sz w:val="20"/>
                <w:szCs w:val="20"/>
                <w:color w:val="auto"/>
              </w:rPr>
            </w:pPr>
            <w:r>
              <w:rPr>
                <w:rFonts w:ascii="Arial" w:cs="Arial" w:eastAsia="Arial" w:hAnsi="Arial"/>
                <w:sz w:val="17"/>
                <w:szCs w:val="17"/>
                <w:color w:val="0000FF"/>
                <w:w w:val="91"/>
              </w:rPr>
              <w:t>05/18/2023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ind w:left="160"/>
              <w:spacing w:after="0" w:line="276" w:lineRule="exact"/>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Pr>
          <w:p>
            <w:pPr>
              <w:ind w:left="200"/>
              <w:spacing w:after="0"/>
              <w:rPr>
                <w:sz w:val="20"/>
                <w:szCs w:val="20"/>
                <w:color w:val="auto"/>
              </w:rPr>
            </w:pPr>
            <w:r>
              <w:rPr>
                <w:rFonts w:ascii="Arial" w:cs="Arial" w:eastAsia="Arial" w:hAnsi="Arial"/>
                <w:sz w:val="17"/>
                <w:szCs w:val="17"/>
                <w:color w:val="0000FF"/>
              </w:rPr>
              <w:t>5,593</w:t>
            </w:r>
          </w:p>
        </w:tc>
        <w:tc>
          <w:tcPr>
            <w:tcW w:w="5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2060" w:type="dxa"/>
            <w:vAlign w:val="bottom"/>
            <w:gridSpan w:val="7"/>
          </w:tcPr>
          <w:p>
            <w:pPr>
              <w:jc w:val="right"/>
              <w:ind w:right="154"/>
              <w:spacing w:after="0" w:line="276" w:lineRule="exact"/>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13.4124</w:t>
            </w:r>
            <w:r>
              <w:rPr>
                <w:rFonts w:ascii="Arial" w:cs="Arial" w:eastAsia="Arial" w:hAnsi="Arial"/>
                <w:sz w:val="20"/>
                <w:szCs w:val="20"/>
                <w:color w:val="008000"/>
                <w:w w:val="89"/>
                <w:vertAlign w:val="superscript"/>
              </w:rPr>
              <w:t>(2)</w:t>
            </w:r>
            <w:r>
              <w:rPr>
                <w:rFonts w:ascii="Arial" w:cs="Arial" w:eastAsia="Arial" w:hAnsi="Arial"/>
                <w:sz w:val="16"/>
                <w:szCs w:val="16"/>
                <w:color w:val="auto"/>
                <w:w w:val="89"/>
              </w:rPr>
              <w:t xml:space="preserve">    </w:t>
            </w:r>
            <w:r>
              <w:rPr>
                <w:rFonts w:ascii="Arial" w:cs="Arial" w:eastAsia="Arial" w:hAnsi="Arial"/>
                <w:sz w:val="32"/>
                <w:szCs w:val="32"/>
                <w:color w:val="0000FF"/>
                <w:w w:val="89"/>
                <w:vertAlign w:val="subscript"/>
              </w:rPr>
              <w:t>111,431</w:t>
            </w:r>
            <w:r>
              <w:rPr>
                <w:rFonts w:ascii="Arial" w:cs="Arial" w:eastAsia="Arial" w:hAnsi="Arial"/>
                <w:sz w:val="10"/>
                <w:szCs w:val="10"/>
                <w:color w:val="008000"/>
                <w:w w:val="89"/>
              </w:rPr>
              <w:t>(4)(5)</w:t>
            </w:r>
          </w:p>
        </w:tc>
        <w:tc>
          <w:tcPr>
            <w:tcW w:w="90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jc w:val="right"/>
              <w:ind w:right="94"/>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ind w:left="720"/>
              <w:spacing w:after="0"/>
              <w:rPr>
                <w:sz w:val="20"/>
                <w:szCs w:val="20"/>
                <w:color w:val="auto"/>
              </w:rPr>
            </w:pPr>
            <w:r>
              <w:rPr>
                <w:rFonts w:ascii="Arial" w:cs="Arial" w:eastAsia="Arial" w:hAnsi="Arial"/>
                <w:sz w:val="17"/>
                <w:szCs w:val="17"/>
                <w:color w:val="0000FF"/>
                <w:w w:val="91"/>
              </w:rPr>
              <w:t>05/18/2023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1,287</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w:t>
            </w:r>
          </w:p>
        </w:tc>
        <w:tc>
          <w:tcPr>
            <w:tcW w:w="2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jc w:val="right"/>
              <w:ind w:right="154"/>
              <w:spacing w:after="0"/>
              <w:rPr>
                <w:sz w:val="20"/>
                <w:szCs w:val="20"/>
                <w:color w:val="auto"/>
              </w:rPr>
            </w:pPr>
            <w:r>
              <w:rPr>
                <w:rFonts w:ascii="Arial" w:cs="Arial" w:eastAsia="Arial" w:hAnsi="Arial"/>
                <w:sz w:val="17"/>
                <w:szCs w:val="17"/>
                <w:color w:val="0000FF"/>
                <w:w w:val="98"/>
              </w:rPr>
              <w:t>112,718</w:t>
            </w:r>
            <w:r>
              <w:rPr>
                <w:rFonts w:ascii="Arial" w:cs="Arial" w:eastAsia="Arial" w:hAnsi="Arial"/>
                <w:sz w:val="21"/>
                <w:szCs w:val="21"/>
                <w:color w:val="008000"/>
                <w:w w:val="98"/>
                <w:vertAlign w:val="superscript"/>
              </w:rPr>
              <w:t>(4)(5)</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2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90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w w:val="95"/>
              </w:rPr>
              <w:t>Beneficially</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Derivative Security</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6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4"/>
            <w:vMerge w:val="restart"/>
          </w:tcPr>
          <w:p>
            <w:pPr>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4.35</w:t>
            </w:r>
          </w:p>
        </w:tc>
        <w:tc>
          <w:tcPr>
            <w:tcW w:w="200" w:type="dxa"/>
            <w:vAlign w:val="bottom"/>
          </w:tcPr>
          <w:p>
            <w:pPr>
              <w:spacing w:after="0"/>
              <w:rPr>
                <w:sz w:val="17"/>
                <w:szCs w:val="17"/>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0000FF"/>
              </w:rPr>
              <w:t>05/18/2023</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3"/>
          </w:tcPr>
          <w:p>
            <w:pPr>
              <w:ind w:left="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0000FF"/>
                <w:w w:val="92"/>
              </w:rPr>
              <w:t>1,287</w:t>
            </w:r>
          </w:p>
        </w:tc>
        <w:tc>
          <w:tcPr>
            <w:tcW w:w="820" w:type="dxa"/>
            <w:vAlign w:val="bottom"/>
          </w:tcPr>
          <w:p>
            <w:pPr>
              <w:jc w:val="center"/>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04/07/2030</w:t>
            </w:r>
          </w:p>
        </w:tc>
        <w:tc>
          <w:tcPr>
            <w:tcW w:w="540" w:type="dxa"/>
            <w:vAlign w:val="bottom"/>
          </w:tcPr>
          <w:p>
            <w:pPr>
              <w:ind w:left="40"/>
              <w:spacing w:after="0"/>
              <w:rPr>
                <w:sz w:val="20"/>
                <w:szCs w:val="20"/>
                <w:color w:val="auto"/>
              </w:rPr>
            </w:pPr>
            <w:r>
              <w:rPr>
                <w:rFonts w:ascii="Arial" w:cs="Arial" w:eastAsia="Arial" w:hAnsi="Arial"/>
                <w:sz w:val="13"/>
                <w:szCs w:val="13"/>
                <w:color w:val="0000FF"/>
                <w:w w:val="90"/>
              </w:rPr>
              <w:t>Common</w:t>
            </w:r>
          </w:p>
        </w:tc>
        <w:tc>
          <w:tcPr>
            <w:tcW w:w="640" w:type="dxa"/>
            <w:vAlign w:val="bottom"/>
            <w:gridSpan w:val="2"/>
          </w:tcPr>
          <w:p>
            <w:pPr>
              <w:ind w:left="160"/>
              <w:spacing w:after="0"/>
              <w:rPr>
                <w:sz w:val="20"/>
                <w:szCs w:val="20"/>
                <w:color w:val="auto"/>
              </w:rPr>
            </w:pPr>
            <w:r>
              <w:rPr>
                <w:rFonts w:ascii="Arial" w:cs="Arial" w:eastAsia="Arial" w:hAnsi="Arial"/>
                <w:sz w:val="17"/>
                <w:szCs w:val="17"/>
                <w:color w:val="0000FF"/>
              </w:rPr>
              <w:t>1,287</w:t>
            </w:r>
          </w:p>
        </w:tc>
        <w:tc>
          <w:tcPr>
            <w:tcW w:w="24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gridSpan w:val="3"/>
          </w:tcPr>
          <w:p>
            <w:pPr>
              <w:ind w:left="220"/>
              <w:spacing w:after="0"/>
              <w:rPr>
                <w:sz w:val="20"/>
                <w:szCs w:val="20"/>
                <w:color w:val="auto"/>
              </w:rPr>
            </w:pPr>
            <w:r>
              <w:rPr>
                <w:rFonts w:ascii="Arial" w:cs="Arial" w:eastAsia="Arial" w:hAnsi="Arial"/>
                <w:sz w:val="13"/>
                <w:szCs w:val="13"/>
                <w:color w:val="0000FF"/>
              </w:rPr>
              <w:t>78,713</w:t>
            </w:r>
          </w:p>
        </w:tc>
        <w:tc>
          <w:tcPr>
            <w:tcW w:w="900" w:type="dxa"/>
            <w:vAlign w:val="bottom"/>
          </w:tcPr>
          <w:p>
            <w:pPr>
              <w:ind w:left="54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-6310630</wp:posOffset>
            </wp:positionV>
            <wp:extent cx="7045325" cy="646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4649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2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sale was executed on the Australian Securities Exchange (the "ASX") as Chess Depositary Interests ("CDIs") and sold using Australian Dollars. The CDIs are traded on the ASX and are held by CHESS Depositary Nominees Pty, Limited, a subsidiary of ASX Limited, the company that operates the ASX.</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price is expressed in United States Dollars using the conversion rate on May 18, 2023.</w:t>
      </w:r>
    </w:p>
    <w:p>
      <w:pPr>
        <w:spacing w:after="0" w:line="47" w:lineRule="exact"/>
        <w:rPr>
          <w:rFonts w:ascii="Arial" w:cs="Arial" w:eastAsia="Arial" w:hAnsi="Arial"/>
          <w:sz w:val="13"/>
          <w:szCs w:val="13"/>
          <w:color w:val="008000"/>
        </w:rPr>
      </w:pPr>
    </w:p>
    <w:p>
      <w:pPr>
        <w:jc w:val="both"/>
        <w:ind w:left="40" w:right="320" w:firstLine="5"/>
        <w:spacing w:after="0" w:line="244"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price is a weighted average price. These shares were sold in multiple transactions. Prices ranged from US$13.3897 to US$13.4294 per share, inclusive. The Reporting Person undertakes to provide to the Issuer, any security holder of the Issuer, or to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3"/>
          <w:szCs w:val="13"/>
          <w:color w:val="008000"/>
        </w:rPr>
      </w:pPr>
    </w:p>
    <w:p>
      <w:pPr>
        <w:ind w:left="40" w:right="540" w:firstLine="5"/>
        <w:spacing w:after="0" w:line="257"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the Issuer's common stock underlying CDIs and 107,108 restricted stock units, each of which represents a contingent right to receive one share of the Issuer's common stock upon vesting.</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CDIs are traded on the Australian Securities Exchange (the "ASX") and are held by CHESS Depositary Nominees Pty, Limited, a subsidiary of ASX Limited, the company that operates the ASX.</w:t>
      </w:r>
    </w:p>
    <w:p>
      <w:pPr>
        <w:spacing w:after="0" w:line="59" w:lineRule="exact"/>
        <w:rPr>
          <w:rFonts w:ascii="Arial" w:cs="Arial" w:eastAsia="Arial" w:hAnsi="Arial"/>
          <w:sz w:val="12"/>
          <w:szCs w:val="12"/>
          <w:color w:val="008000"/>
        </w:rPr>
      </w:pPr>
    </w:p>
    <w:p>
      <w:pPr>
        <w:ind w:left="40" w:right="22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vests and becomes exercisable as to 1/48th of the total number of shares in equal monthly installments beginning on May 7, 2020, until such time as the option is 100% vested, subject to the continuing employment of the Reporting Person on each vesting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w w:val="99"/>
              </w:rPr>
              <w:t>/s/ Jay Sood, Attorney-in-fact</w:t>
            </w:r>
          </w:p>
        </w:tc>
        <w:tc>
          <w:tcPr>
            <w:tcW w:w="780" w:type="dxa"/>
            <w:vAlign w:val="bottom"/>
          </w:tcPr>
          <w:p>
            <w:pPr>
              <w:spacing w:after="0"/>
              <w:rPr>
                <w:sz w:val="20"/>
                <w:szCs w:val="20"/>
                <w:color w:val="auto"/>
              </w:rPr>
            </w:pPr>
            <w:r>
              <w:rPr>
                <w:rFonts w:ascii="Arial" w:cs="Arial" w:eastAsia="Arial" w:hAnsi="Arial"/>
                <w:sz w:val="17"/>
                <w:szCs w:val="17"/>
                <w:color w:val="0000FF"/>
                <w:w w:val="89"/>
              </w:rPr>
              <w:t>05/22/2023</w:t>
            </w:r>
          </w:p>
        </w:tc>
      </w:tr>
      <w:tr>
        <w:trPr>
          <w:trHeight w:val="228"/>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932558" TargetMode="External"/><Relationship Id="rId9"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2023-05-22T13:44:13Z</dcterms:created>
  <dcterms:modified xsi:type="dcterms:W3CDTF">2023-05-22T13:44:13Z</dcterms:modified>
</cp:coreProperties>
</file>