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001-42120</w:t>
      </w:r>
    </w:p>
    <w:p>
      <w:pPr>
        <w:pStyle w:val="TextBody"/>
        <w:bidi w:val="0"/>
        <w:spacing w:lineRule="auto" w:line="28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39" w:type="dxa"/>
        <w:jc w:val="left"/>
        <w:tblInd w:w="0" w:type="dxa"/>
        <w:tblLayout w:type="fixed"/>
        <w:tblCellMar>
          <w:top w:w="28" w:type="dxa"/>
          <w:left w:w="28" w:type="dxa"/>
          <w:bottom w:w="28" w:type="dxa"/>
          <w:right w:w="28" w:type="dxa"/>
        </w:tblCellMar>
      </w:tblPr>
      <w:tblGrid>
        <w:gridCol w:w="1226"/>
        <w:gridCol w:w="1076"/>
        <w:gridCol w:w="1088"/>
        <w:gridCol w:w="481"/>
        <w:gridCol w:w="481"/>
        <w:gridCol w:w="687"/>
      </w:tblGrid>
      <w:tr>
        <w:trPr/>
        <w:tc>
          <w:tcPr>
            <w:tcW w:w="122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94403</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(Address of principal executive office)</w:t>
            </w:r>
            <w:r>
              <w:rPr>
                <w:rFonts w:ascii="Times New Roman;serif" w:hAnsi="Times New Roman;serif"/>
                <w:b w:val="false"/>
                <w:color w:val="000000"/>
                <w:sz w:val="13"/>
              </w:rPr>
              <w:t>(1)</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rPr>
        <w:t>Tel: (</w:t>
      </w:r>
      <w:r>
        <w:rPr>
          <w:rFonts w:ascii="Times New Roman;serif" w:hAnsi="Times New Roman;serif"/>
          <w:b w:val="false"/>
          <w:color w:val="000000"/>
          <w:sz w:val="20"/>
        </w:rPr>
        <w:t>415</w:t>
      </w:r>
      <w:r>
        <w:rPr>
          <w:rFonts w:ascii="Times New Roman;serif" w:hAnsi="Times New Roman;serif"/>
          <w:b/>
          <w:color w:val="000000"/>
          <w:sz w:val="20"/>
        </w:rPr>
        <w:t xml:space="preserve">) </w:t>
      </w:r>
      <w:r>
        <w:rPr>
          <w:rFonts w:ascii="Times New Roman;serif" w:hAnsi="Times New Roman;serif"/>
          <w:b w:val="false"/>
          <w:color w:val="000000"/>
          <w:sz w:val="20"/>
        </w:rPr>
        <w:t>484-5244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4, 2026, the registrant had 81,480,369 shares of common stock, par value $0.001 per share, including shares underlying all issued and outstanding Chess Depositary Interests (“CDIs”), outstanding.</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Life360,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10-Q for the Quarter Ended June 30, 2026</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6">
              <w:r>
                <w:rPr>
                  <w:rStyle w:val="InternetLink"/>
                  <w:rFonts w:ascii="Times New Roman;serif" w:hAnsi="Times New Roman;serif"/>
                  <w:b/>
                  <w:color w:val="0000FF"/>
                  <w:sz w:val="20"/>
                  <w:u w:val="single"/>
                </w:rPr>
                <w:t>Part I - Financial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9">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9">
              <w:r>
                <w:rPr>
                  <w:rStyle w:val="InternetLink"/>
                  <w:rFonts w:ascii="Times New Roman;serif" w:hAnsi="Times New Roman;serif"/>
                  <w:b w:val="false"/>
                  <w:color w:val="0000FF"/>
                  <w:sz w:val="20"/>
                  <w:u w:val="single"/>
                </w:rPr>
                <w:t>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9">
              <w:r>
                <w:rPr>
                  <w:rStyle w:val="InternetLink"/>
                  <w:rFonts w:ascii="Times New Roman;serif" w:hAnsi="Times New Roman;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22">
              <w:r>
                <w:rPr>
                  <w:rStyle w:val="InternetLink"/>
                  <w:rFonts w:ascii="Times New Roman;serif" w:hAnsi="Times New Roman;serif"/>
                  <w:b w:val="false"/>
                  <w:color w:val="0000FF"/>
                  <w:sz w:val="20"/>
                  <w:u w:val="single"/>
                </w:rPr>
                <w:t>Condensed Consolidated Balance Sheets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22">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25">
              <w:r>
                <w:rPr>
                  <w:rStyle w:val="InternetLink"/>
                  <w:rFonts w:ascii="Times New Roman;serif" w:hAnsi="Times New Roman;serif"/>
                  <w:b w:val="false"/>
                  <w:color w:val="0000FF"/>
                  <w:sz w:val="20"/>
                  <w:u w:val="single"/>
                </w:rPr>
                <w:t>Condensed Consolidated Statements of Operations and Comprehensive Income</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25">
              <w:r>
                <w:rPr>
                  <w:rStyle w:val="InternetLink"/>
                  <w:rFonts w:ascii="Times New Roman;serif" w:hAnsi="Times New Roman;serif"/>
                  <w:b w:val="false"/>
                  <w:strike w:val="false"/>
                  <w:dstrike w:val="false"/>
                  <w:color w:val="000000"/>
                  <w:sz w:val="20"/>
                  <w:u w:val="none"/>
                  <w:effect w:val="non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28">
              <w:r>
                <w:rPr>
                  <w:rStyle w:val="InternetLink"/>
                  <w:rFonts w:ascii="Times New Roman;serif" w:hAnsi="Times New Roman;serif"/>
                  <w:b w:val="false"/>
                  <w:color w:val="0000FF"/>
                  <w:sz w:val="20"/>
                  <w:u w:val="single"/>
                </w:rPr>
                <w:t>Condensed Consolidated Statements of Stockholders’ Equity</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28">
              <w:r>
                <w:rPr>
                  <w:rStyle w:val="InternetLink"/>
                  <w:rFonts w:ascii="Times New Roman;serif" w:hAnsi="Times New Roman;serif"/>
                  <w:b w:val="false"/>
                  <w:strike w:val="false"/>
                  <w:dstrike w:val="false"/>
                  <w:color w:val="000000"/>
                  <w:sz w:val="20"/>
                  <w:u w:val="none"/>
                  <w:effect w:val="none"/>
                </w:rPr>
                <w:t>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31">
              <w:r>
                <w:rPr>
                  <w:rStyle w:val="InternetLink"/>
                  <w:rFonts w:ascii="Times New Roman;serif" w:hAnsi="Times New Roman;serif"/>
                  <w:b w:val="false"/>
                  <w:color w:val="0000FF"/>
                  <w:sz w:val="20"/>
                  <w:u w:val="single"/>
                </w:rPr>
                <w:t>Condensed Consolidated Statements of Cash Flows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31">
              <w:r>
                <w:rPr>
                  <w:rStyle w:val="InternetLink"/>
                  <w:rFonts w:ascii="Times New Roman;serif" w:hAnsi="Times New Roman;serif"/>
                  <w:b w:val="false"/>
                  <w:strike w:val="false"/>
                  <w:dstrike w:val="false"/>
                  <w:color w:val="000000"/>
                  <w:sz w:val="20"/>
                  <w:u w:val="none"/>
                  <w:effect w:val="non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34">
              <w:r>
                <w:rPr>
                  <w:rStyle w:val="InternetLink"/>
                  <w:rFonts w:ascii="Times New Roman;serif" w:hAnsi="Times New Roman;serif"/>
                  <w:b w:val="false"/>
                  <w:color w:val="0000FF"/>
                  <w:sz w:val="20"/>
                  <w:u w:val="single"/>
                </w:rPr>
                <w:t>Notes to Condensed Consolidated 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34">
              <w:r>
                <w:rPr>
                  <w:rStyle w:val="InternetLink"/>
                  <w:rFonts w:ascii="Times New Roman;serif" w:hAnsi="Times New Roman;serif"/>
                  <w:b w:val="false"/>
                  <w:strike w:val="false"/>
                  <w:dstrike w:val="false"/>
                  <w:color w:val="000000"/>
                  <w:sz w:val="20"/>
                  <w:u w:val="none"/>
                  <w:effect w:val="none"/>
                </w:rPr>
                <w:t>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06">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06">
              <w:r>
                <w:rPr>
                  <w:rStyle w:val="InternetLink"/>
                  <w:rFonts w:ascii="Times New Roman;serif" w:hAnsi="Times New Roman;serif"/>
                  <w:b w:val="false"/>
                  <w:strike w:val="false"/>
                  <w:dstrike w:val="false"/>
                  <w:color w:val="000000"/>
                  <w:sz w:val="20"/>
                  <w:u w:val="none"/>
                  <w:effect w:val="none"/>
                </w:rPr>
                <w:t>31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36">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36">
              <w:r>
                <w:rPr>
                  <w:rStyle w:val="InternetLink"/>
                  <w:rFonts w:ascii="Times New Roman;serif" w:hAnsi="Times New Roman;serif"/>
                  <w:b w:val="false"/>
                  <w:color w:val="0000FF"/>
                  <w:sz w:val="20"/>
                  <w:u w:val="single"/>
                </w:rPr>
                <w:t>Quantitative and Qualitative Disclosures About Market Risk</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36">
              <w:r>
                <w:rPr>
                  <w:rStyle w:val="InternetLink"/>
                  <w:rFonts w:ascii="Times New Roman;serif" w:hAnsi="Times New Roman;serif"/>
                  <w:b w:val="false"/>
                  <w:strike w:val="false"/>
                  <w:dstrike w:val="false"/>
                  <w:color w:val="000000"/>
                  <w:sz w:val="20"/>
                  <w:u w:val="none"/>
                  <w:effect w:val="none"/>
                </w:rPr>
                <w:t>46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39">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39">
              <w:r>
                <w:rPr>
                  <w:rStyle w:val="InternetLink"/>
                  <w:rFonts w:ascii="Times New Roman;serif" w:hAnsi="Times New Roman;serif"/>
                  <w:b w:val="false"/>
                  <w:color w:val="0000FF"/>
                  <w:sz w:val="20"/>
                  <w:u w:val="single"/>
                </w:rPr>
                <w:t>Controls and Procedures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39">
              <w:r>
                <w:rPr>
                  <w:rStyle w:val="InternetLink"/>
                  <w:rFonts w:ascii="Times New Roman;serif" w:hAnsi="Times New Roman;serif"/>
                  <w:b w:val="false"/>
                  <w:strike w:val="false"/>
                  <w:dstrike w:val="false"/>
                  <w:color w:val="000000"/>
                  <w:sz w:val="20"/>
                  <w:u w:val="none"/>
                  <w:effect w:val="none"/>
                </w:rPr>
                <w:t>47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42">
              <w:r>
                <w:rPr>
                  <w:rStyle w:val="InternetLink"/>
                  <w:rFonts w:ascii="Times New Roman;serif" w:hAnsi="Times New Roman;serif"/>
                  <w:b/>
                  <w:color w:val="0000FF"/>
                  <w:sz w:val="20"/>
                  <w:u w:val="single"/>
                </w:rPr>
                <w:t>Part II - Other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45">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7c6f1cf30134dfea763b22742beb7f3_145">
              <w:r>
                <w:rPr>
                  <w:rStyle w:val="InternetLink"/>
                  <w:rFonts w:ascii="Times New Roman;serif" w:hAnsi="Times New Roman;serif"/>
                  <w:b w:val="false"/>
                  <w:color w:val="0000FF"/>
                  <w:sz w:val="20"/>
                  <w:u w:val="single"/>
                </w:rPr>
                <w:t>Legal Proceedings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45">
              <w:r>
                <w:rPr>
                  <w:rStyle w:val="InternetLink"/>
                  <w:rFonts w:ascii="Times New Roman;serif" w:hAnsi="Times New Roman;serif"/>
                  <w:b w:val="false"/>
                  <w:strike w:val="false"/>
                  <w:dstrike w:val="false"/>
                  <w:color w:val="000000"/>
                  <w:sz w:val="20"/>
                  <w:u w:val="none"/>
                  <w:effect w:val="none"/>
                </w:rPr>
                <w:t>48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48">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48">
              <w:r>
                <w:rPr>
                  <w:rStyle w:val="InternetLink"/>
                  <w:rFonts w:ascii="Times New Roman;serif" w:hAnsi="Times New Roman;serif"/>
                  <w:b w:val="false"/>
                  <w:color w:val="0000FF"/>
                  <w:sz w:val="20"/>
                  <w:u w:val="single"/>
                </w:rPr>
                <w:t>Risk Factors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48">
              <w:r>
                <w:rPr>
                  <w:rStyle w:val="InternetLink"/>
                  <w:rFonts w:ascii="Times New Roman;serif" w:hAnsi="Times New Roman;serif"/>
                  <w:b w:val="false"/>
                  <w:strike w:val="false"/>
                  <w:dstrike w:val="false"/>
                  <w:color w:val="000000"/>
                  <w:sz w:val="20"/>
                  <w:u w:val="none"/>
                  <w:effect w:val="none"/>
                </w:rPr>
                <w:t>48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75">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75">
              <w:r>
                <w:rPr>
                  <w:rStyle w:val="InternetLink"/>
                  <w:rFonts w:ascii="Times New Roman;serif" w:hAnsi="Times New Roman;serif"/>
                  <w:b w:val="false"/>
                  <w:color w:val="0000FF"/>
                  <w:sz w:val="20"/>
                  <w:u w:val="single"/>
                </w:rPr>
                <w:t>Unregistered Sales of Equity Securities and Use of Proceeds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75">
              <w:r>
                <w:rPr>
                  <w:rStyle w:val="InternetLink"/>
                  <w:rFonts w:ascii="Times New Roman;serif" w:hAnsi="Times New Roman;serif"/>
                  <w:b w:val="false"/>
                  <w:strike w:val="false"/>
                  <w:dstrike w:val="false"/>
                  <w:color w:val="000000"/>
                  <w:sz w:val="20"/>
                  <w:u w:val="none"/>
                  <w:effect w:val="none"/>
                </w:rPr>
                <w:t>49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78">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78">
              <w:r>
                <w:rPr>
                  <w:rStyle w:val="InternetLink"/>
                  <w:rFonts w:ascii="Times New Roman;serif" w:hAnsi="Times New Roman;serif"/>
                  <w:b w:val="false"/>
                  <w:color w:val="0000FF"/>
                  <w:sz w:val="20"/>
                  <w:u w:val="single"/>
                </w:rPr>
                <w:t>Defaults Upon Senior Securities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78">
              <w:r>
                <w:rPr>
                  <w:rStyle w:val="InternetLink"/>
                  <w:rFonts w:ascii="Times New Roman;serif" w:hAnsi="Times New Roman;serif"/>
                  <w:b w:val="false"/>
                  <w:strike w:val="false"/>
                  <w:dstrike w:val="false"/>
                  <w:color w:val="000000"/>
                  <w:sz w:val="20"/>
                  <w:u w:val="none"/>
                  <w:effect w:val="none"/>
                </w:rPr>
                <w:t>49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81">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81">
              <w:r>
                <w:rPr>
                  <w:rStyle w:val="InternetLink"/>
                  <w:rFonts w:ascii="Times New Roman;serif" w:hAnsi="Times New Roman;serif"/>
                  <w:b w:val="false"/>
                  <w:color w:val="0000FF"/>
                  <w:sz w:val="20"/>
                  <w:u w:val="single"/>
                </w:rPr>
                <w:t>Mine Safety Disclosures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81">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84">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84">
              <w:r>
                <w:rPr>
                  <w:rStyle w:val="InternetLink"/>
                  <w:rFonts w:ascii="Times New Roman;serif" w:hAnsi="Times New Roman;serif"/>
                  <w:b w:val="false"/>
                  <w:color w:val="0000FF"/>
                  <w:sz w:val="20"/>
                  <w:u w:val="single"/>
                </w:rPr>
                <w:t>Other Information</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84">
              <w:r>
                <w:rPr>
                  <w:rStyle w:val="InternetLink"/>
                  <w:rFonts w:ascii="Times New Roman;serif" w:hAnsi="Times New Roman;serif"/>
                  <w:b w:val="false"/>
                  <w:strike w:val="false"/>
                  <w:dstrike w:val="false"/>
                  <w:color w:val="000000"/>
                  <w:sz w:val="20"/>
                  <w:u w:val="none"/>
                  <w:effect w:val="none"/>
                </w:rPr>
                <w:t>50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90">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90">
              <w:r>
                <w:rPr>
                  <w:rStyle w:val="InternetLink"/>
                  <w:rFonts w:ascii="Times New Roman;serif" w:hAnsi="Times New Roman;serif"/>
                  <w:b w:val="false"/>
                  <w:color w:val="0000FF"/>
                  <w:sz w:val="20"/>
                  <w:u w:val="single"/>
                </w:rPr>
                <w:t>Exhibits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90">
              <w:r>
                <w:rPr>
                  <w:rStyle w:val="InternetLink"/>
                  <w:rFonts w:ascii="Times New Roman;serif" w:hAnsi="Times New Roman;serif"/>
                  <w:b w:val="false"/>
                  <w:strike w:val="false"/>
                  <w:dstrike w:val="false"/>
                  <w:color w:val="000000"/>
                  <w:sz w:val="20"/>
                  <w:u w:val="none"/>
                  <w:effect w:val="none"/>
                </w:rPr>
                <w:t>51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7c6f1cf30134dfea763b22742beb7f3_193">
              <w:r>
                <w:rPr>
                  <w:rStyle w:val="InternetLink"/>
                  <w:rFonts w:ascii="Times New Roman;serif" w:hAnsi="Times New Roman;serif"/>
                  <w:b w:val="false"/>
                  <w:color w:val="0000FF"/>
                  <w:sz w:val="20"/>
                  <w:u w:val="single"/>
                </w:rPr>
                <w:t>Signatures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7c6f1cf30134dfea763b22742beb7f3_193">
              <w:r>
                <w:rPr>
                  <w:rStyle w:val="InternetLink"/>
                  <w:rFonts w:ascii="Times New Roman;serif" w:hAnsi="Times New Roman;serif"/>
                  <w:b w:val="false"/>
                  <w:strike w:val="false"/>
                  <w:dstrike w:val="false"/>
                  <w:color w:val="000000"/>
                  <w:sz w:val="20"/>
                  <w:u w:val="none"/>
                  <w:effect w:val="none"/>
                </w:rPr>
                <w:t>52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bookmarkStart w:id="0" w:name="ib58d3e9dbf924c5aa4ebc4fbcbe92bc2_3565"/>
      <w:bookmarkEnd w:id="0"/>
      <w:r>
        <w:rPr>
          <w:rFonts w:ascii="Times New Roman;serif" w:hAnsi="Times New Roman;serif"/>
          <w:b/>
          <w:color w:val="000000"/>
          <w:sz w:val="20"/>
        </w:rPr>
        <w:t>FORWARD-LOOKING STATEMENTS</w:t>
      </w:r>
    </w:p>
    <w:p>
      <w:pPr>
        <w:pStyle w:val="TextBody"/>
        <w:bidi w:val="0"/>
        <w:spacing w:lineRule="auto" w:line="268" w:before="0" w:after="0"/>
        <w:ind w:left="0" w:right="0" w:firstLine="450"/>
        <w:jc w:val="both"/>
        <w:rPr/>
      </w:pPr>
      <w:r>
        <w:rPr>
          <w:rFonts w:ascii="Times New Roman;serif" w:hAnsi="Times New Roman;serif"/>
          <w:b w:val="false"/>
          <w:color w:val="000000"/>
          <w:sz w:val="20"/>
          <w:shd w:fill="FFFFFF" w:val="clear"/>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These forward-looking statements include statements regarding, among other thin</w:t>
      </w:r>
      <w:r>
        <w:rPr>
          <w:rFonts w:ascii="Times New Roman;serif" w:hAnsi="Times New Roman;serif"/>
          <w:b w:val="false"/>
          <w:color w:val="000000"/>
          <w:sz w:val="20"/>
        </w:rPr>
        <w:t>gs, (a) our expectations regarding our results of operations and key performance indicators, (b) key factors affecting our performance, (c) our growth strategy, (d) our future financing plans, (e) our anticipated needs for, and use of, working capital, (f) our expectations regarding investment in strategic initiatives, (g) our expectations regarding our capital allocation and financing activities, including the effect of the capped call transactions entered into in connection with the pricing of our 0.00%</w:t>
      </w:r>
      <w:r>
        <w:rPr>
          <w:color w:val="000000"/>
        </w:rPr>
        <w:t xml:space="preserve"> </w:t>
      </w:r>
      <w:r>
        <w:rPr>
          <w:rFonts w:ascii="Times New Roman;serif" w:hAnsi="Times New Roman;serif"/>
          <w:b w:val="false"/>
          <w:color w:val="000000"/>
          <w:sz w:val="20"/>
        </w:rPr>
        <w:t>convertible senior notes due June 1, 2030 (the "Notes"), our ability to satisfy our repayment, repurchase, or conversion obligations under the Notes, the effect of any conversion trigger events on the Notes and the capped call transactions, and the execution, timing, suspension, or discontinuation of our share repurchase program, and (h) our ability to recover Monthly Active User (“MAU”) growth following the technical issues that affected user registration and onboarding, and the extent to which our remediation measures will fully restore prior user acquisition rates and the timing of any such recovery. They are generally identifiable by use of the words: “may,” “might,” “will,” “could,” “would,” “should,” “expect,” “plan,” “an</w:t>
      </w:r>
      <w:r>
        <w:rPr>
          <w:rFonts w:ascii="Times New Roman;serif" w:hAnsi="Times New Roman;serif"/>
          <w:b w:val="false"/>
          <w:color w:val="000000"/>
          <w:sz w:val="20"/>
          <w:shd w:fill="FFFFFF" w:val="clear"/>
        </w:rPr>
        <w:t xml:space="preserve">ticipate,” “intend,” “seek,” “believe,” “estimate,” “predict,” “potential,” “continue,” “contemplate,” “possible,” or the negative of these terms or other comparable terminology, although not all forward-looking statements contain these words. We caution you that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w:t>
      </w:r>
      <w:r>
        <w:rPr>
          <w:color w:val="000000"/>
        </w:rPr>
        <w:t>“</w:t>
      </w:r>
      <w:r>
        <w:rPr>
          <w:rFonts w:ascii="Times New Roman;serif" w:hAnsi="Times New Roman;serif"/>
          <w:b w:val="false"/>
          <w:color w:val="000000"/>
          <w:sz w:val="20"/>
        </w:rPr>
        <w:t xml:space="preserve">Risk Factors” under Part II, Item 1A in this Quarterly Report and under Part I, Item 1A of the Company’s Form 10-K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filed with the Securities and Exchange Commission (the “SEC”) on March 2, 2026 (“Annual Report”), as well as in other sections of this report, as such risks may be updated in subsequent filings with the SEC or the Australian Securities Exchange (“ASX”)</w:t>
      </w:r>
      <w:r>
        <w:rPr>
          <w:rFonts w:ascii="Times New Roman;serif" w:hAnsi="Times New Roman;serif"/>
          <w:b w:val="false"/>
          <w:color w:val="000000"/>
          <w:sz w:val="20"/>
          <w:shd w:fill="FFFFFF" w:val="clear"/>
        </w:rPr>
        <w:t>.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but not limited to, those discussed in </w:t>
      </w:r>
      <w:r>
        <w:rPr>
          <w:color w:val="000000"/>
        </w:rPr>
        <w:t>“</w:t>
      </w:r>
      <w:r>
        <w:rPr>
          <w:rFonts w:ascii="Times New Roman;serif" w:hAnsi="Times New Roman;serif"/>
          <w:b w:val="false"/>
          <w:color w:val="000000"/>
          <w:sz w:val="20"/>
        </w:rPr>
        <w:t>Risk Factors” under Part I, Item 1A in our Annual Report, and other sections in this Quarterly Report</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7"/>
        <w:gridCol w:w="2265"/>
        <w:gridCol w:w="2258"/>
        <w:gridCol w:w="211"/>
        <w:gridCol w:w="976"/>
        <w:gridCol w:w="109"/>
        <w:gridCol w:w="109"/>
        <w:gridCol w:w="109"/>
        <w:gridCol w:w="109"/>
        <w:gridCol w:w="211"/>
        <w:gridCol w:w="826"/>
        <w:gridCol w:w="155"/>
      </w:tblGrid>
      <w:tr>
        <w:trPr/>
        <w:tc>
          <w:tcPr>
            <w:tcW w:w="2867"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 net</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assets, noncurrent</w:t>
            </w:r>
            <w:r>
              <w:rPr>
                <w:rFonts w:ascii="Times New Roman;serif" w:hAnsi="Times New Roman;serif"/>
                <w:b w:val="false"/>
                <w:color w:val="000000"/>
                <w:sz w:val="13"/>
              </w:rPr>
              <w:t>(2)(3)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current</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 noncurrent</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authorized as of June 30, 2026 and December 31, 2025; 81,531,092 issued and 81,216,330 outstanding as of June 30, 2026 and 79,359,589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314,762 and 0 shares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959,688 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related party receivables of $64 and $3 as of June 30, 2026, and December 31, 2025, respectively.</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$19,999 and $24,726 measured using the fair value option as of June 30, 2026, and December 31, 2025, respectively, related to the Convertible Note Investment. Refer to Note 6, "Fair Value Measurements" for additional information. </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(3) Includes the $5,882 Related Party Investment and the $3,898 Related Party Warrant as of June 30, 2026, and December 31, 2025. Refer to Note 6, "Fair Value Measurements" and Note 14, "Related-Party Transactions" for additional information. </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related party deferred revenue, current of $780 as of June 30, 2026, and December 31, 2025.</w:t>
      </w:r>
    </w:p>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Includes related party deferred revenue, noncurrent of $1,852 and $2,242 as of June 30, 2026 and December 31, 2025, respectively.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68"/>
        <w:gridCol w:w="1264"/>
        <w:gridCol w:w="1267"/>
        <w:gridCol w:w="219"/>
        <w:gridCol w:w="862"/>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09"/>
        <w:gridCol w:w="109"/>
        <w:gridCol w:w="156"/>
      </w:tblGrid>
      <w:tr>
        <w:trPr/>
        <w:tc>
          <w:tcPr>
            <w:tcW w:w="166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Subscription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Hardware revenue</w:t>
            </w:r>
            <w:r>
              <w:rPr>
                <w:rFonts w:ascii="Times New Roman;serif" w:hAnsi="Times New Roman;serif"/>
                <w:b w:val="false"/>
                <w:color w:val="000000"/>
                <w:sz w:val="12"/>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Advertising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Other revenue</w:t>
            </w:r>
            <w:r>
              <w:rPr>
                <w:rFonts w:ascii="Times New Roman;serif" w:hAnsi="Times New Roman;serif"/>
                <w:b w:val="false"/>
                <w:color w:val="000000"/>
                <w:sz w:val="12"/>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subscription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Cost of hardware revenue</w:t>
            </w:r>
            <w:r>
              <w:rPr>
                <w:rFonts w:ascii="Times New Roman;serif" w:hAnsi="Times New Roman;serif"/>
                <w:b w:val="false"/>
                <w:color w:val="000000"/>
                <w:sz w:val="12"/>
              </w:rPr>
              <w:t>(3)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Cost of advertising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Gain (loss) on change in fair value of investments</w:t>
            </w:r>
            <w:r>
              <w:rPr>
                <w:rFonts w:ascii="Times New Roman;serif" w:hAnsi="Times New Roman;serif"/>
                <w:b w:val="false"/>
                <w:color w:val="000000"/>
                <w:sz w:val="12"/>
              </w:rPr>
              <w:t>(4)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per share, basic (Note 15)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per share, diluted (Note 15)</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in computing net income per share, basic (Note 15)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81,002,338 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76,797,385 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80,577,105 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76,254,119 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used in computing net income per share, diluted (Note 15)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85,594,461 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84,476,048 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85,774,919 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83,980,695 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Comprehensive income </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Unrealized gain (loss) on available-for-sale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comprehensive income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(1) Includes related party hardware revenue of $94 for the three and six months ended June 30, 2026. There was no related party hardware revenue for the three and six months ended June 30, 2025.</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related party other revenue of $259 and $483 for the three and six months ended June 30, 2026, respectively, and $195 and $487 for the three and six months ended June 30, 2025, respectively.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(3) Includes related party cost of hardware revenue of $62 for the three and six months ended June 30, 2026. There was no related party cost of hardware revenue for the three and six months ended June 30, 2025.</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(4) Includes a related party gain of zero for the three and six months ended June 30, 2026 and $882 for the three and six months ended June 30, 2025.</w:t>
      </w:r>
    </w:p>
    <w:p>
      <w:pPr>
        <w:pStyle w:val="TextBody"/>
        <w:bidi w:val="0"/>
        <w:spacing w:lineRule="auto" w:line="288" w:before="2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898" w:type="dxa"/>
        <w:jc w:val="center"/>
        <w:tblInd w:w="0" w:type="dxa"/>
        <w:tblLayout w:type="fixed"/>
        <w:tblCellMar>
          <w:top w:w="28" w:type="dxa"/>
          <w:left w:w="28" w:type="dxa"/>
          <w:bottom w:w="28" w:type="dxa"/>
          <w:right w:w="28" w:type="dxa"/>
        </w:tblCellMar>
      </w:tblPr>
      <w:tblGrid>
        <w:gridCol w:w="908"/>
        <w:gridCol w:w="311"/>
        <w:gridCol w:w="312"/>
        <w:gridCol w:w="540"/>
        <w:gridCol w:w="541"/>
        <w:gridCol w:w="196"/>
        <w:gridCol w:w="109"/>
        <w:gridCol w:w="109"/>
        <w:gridCol w:w="109"/>
        <w:gridCol w:w="214"/>
        <w:gridCol w:w="366"/>
        <w:gridCol w:w="111"/>
        <w:gridCol w:w="109"/>
        <w:gridCol w:w="109"/>
        <w:gridCol w:w="109"/>
        <w:gridCol w:w="420"/>
        <w:gridCol w:w="421"/>
        <w:gridCol w:w="196"/>
        <w:gridCol w:w="109"/>
        <w:gridCol w:w="109"/>
        <w:gridCol w:w="109"/>
        <w:gridCol w:w="211"/>
        <w:gridCol w:w="736"/>
        <w:gridCol w:w="109"/>
        <w:gridCol w:w="109"/>
        <w:gridCol w:w="109"/>
        <w:gridCol w:w="109"/>
        <w:gridCol w:w="226"/>
        <w:gridCol w:w="887"/>
        <w:gridCol w:w="118"/>
        <w:gridCol w:w="109"/>
        <w:gridCol w:w="109"/>
        <w:gridCol w:w="109"/>
        <w:gridCol w:w="109"/>
        <w:gridCol w:w="109"/>
        <w:gridCol w:w="211"/>
        <w:gridCol w:w="841"/>
        <w:gridCol w:w="109"/>
        <w:gridCol w:w="109"/>
        <w:gridCol w:w="109"/>
        <w:gridCol w:w="109"/>
        <w:gridCol w:w="368"/>
        <w:gridCol w:w="656"/>
        <w:gridCol w:w="192"/>
        <w:gridCol w:w="109"/>
        <w:gridCol w:w="109"/>
        <w:gridCol w:w="109"/>
        <w:gridCol w:w="211"/>
        <w:gridCol w:w="82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79,359,589 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80,688,123 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285,432 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81,531,092 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(314,762)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(Dollars in U.S. $, in thousands, except share and per share data)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8"/>
        <w:gridCol w:w="402"/>
        <w:gridCol w:w="403"/>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3"/>
        <w:gridCol w:w="109"/>
        <w:gridCol w:w="109"/>
        <w:gridCol w:w="109"/>
        <w:gridCol w:w="109"/>
        <w:gridCol w:w="382"/>
        <w:gridCol w:w="681"/>
        <w:gridCol w:w="199"/>
        <w:gridCol w:w="109"/>
        <w:gridCol w:w="109"/>
        <w:gridCol w:w="109"/>
        <w:gridCol w:w="211"/>
        <w:gridCol w:w="826"/>
        <w:gridCol w:w="158"/>
      </w:tblGrid>
      <w:tr>
        <w:trPr/>
        <w:tc>
          <w:tcPr>
            <w:tcW w:w="7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75,404,996 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76,418,660 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capped calls related to the June 2025 Convertible Notes,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77,516,232 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644,950 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U.S. $,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55"/>
        <w:gridCol w:w="2460"/>
        <w:gridCol w:w="2477"/>
        <w:gridCol w:w="226"/>
        <w:gridCol w:w="662"/>
        <w:gridCol w:w="109"/>
        <w:gridCol w:w="109"/>
        <w:gridCol w:w="109"/>
        <w:gridCol w:w="109"/>
        <w:gridCol w:w="211"/>
        <w:gridCol w:w="721"/>
        <w:gridCol w:w="157"/>
      </w:tblGrid>
      <w:tr>
        <w:trPr/>
        <w:tc>
          <w:tcPr>
            <w:tcW w:w="2855"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capitalized to obtain contracts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amounts capitalized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(gain) on change in fair value of investments</w:t>
            </w:r>
            <w:r>
              <w:rPr>
                <w:rFonts w:ascii="Times New Roman;serif" w:hAnsi="Times New Roman;serif"/>
                <w:b w:val="false"/>
                <w:color w:val="000000"/>
                <w:sz w:val="13"/>
              </w:rPr>
              <w:t>(1)</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revenue from investments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Accretion of discount on short-term investments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tariff refund monetization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contracts,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other strategic investments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Indemnity escrow payment in connection with the acquisition of Fantix, Inc.</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monetization of tariff refund claims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Remittance of tariff refund claims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tax withholdings on restricted stock settlements and the exercise of stock options and warrants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equity awards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tbl>
      <w:tblPr>
        <w:tblW w:w="9084" w:type="dxa"/>
        <w:jc w:val="center"/>
        <w:tblInd w:w="0" w:type="dxa"/>
        <w:tblLayout w:type="fixed"/>
        <w:tblCellMar>
          <w:top w:w="28" w:type="dxa"/>
          <w:left w:w="28" w:type="dxa"/>
          <w:bottom w:w="28" w:type="dxa"/>
          <w:right w:w="28" w:type="dxa"/>
        </w:tblCellMar>
      </w:tblPr>
      <w:tblGrid>
        <w:gridCol w:w="2326"/>
        <w:gridCol w:w="2041"/>
        <w:gridCol w:w="2053"/>
        <w:gridCol w:w="211"/>
        <w:gridCol w:w="826"/>
        <w:gridCol w:w="109"/>
        <w:gridCol w:w="109"/>
        <w:gridCol w:w="109"/>
        <w:gridCol w:w="109"/>
        <w:gridCol w:w="211"/>
        <w:gridCol w:w="82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Beginning of the Period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37" w:type="dxa"/>
        <w:jc w:val="left"/>
        <w:tblInd w:w="0" w:type="dxa"/>
        <w:tblLayout w:type="fixed"/>
        <w:tblCellMar>
          <w:top w:w="28" w:type="dxa"/>
          <w:left w:w="28" w:type="dxa"/>
          <w:bottom w:w="28" w:type="dxa"/>
          <w:right w:w="28" w:type="dxa"/>
        </w:tblCellMar>
      </w:tblPr>
      <w:tblGrid>
        <w:gridCol w:w="2575"/>
        <w:gridCol w:w="2263"/>
        <w:gridCol w:w="2272"/>
        <w:gridCol w:w="224"/>
        <w:gridCol w:w="497"/>
        <w:gridCol w:w="109"/>
        <w:gridCol w:w="109"/>
        <w:gridCol w:w="109"/>
        <w:gridCol w:w="109"/>
        <w:gridCol w:w="227"/>
        <w:gridCol w:w="389"/>
        <w:gridCol w:w="154"/>
      </w:tblGrid>
      <w:tr>
        <w:trPr/>
        <w:tc>
          <w:tcPr>
            <w:tcW w:w="257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taxes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included in the measurement of operating lease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stock issued in connection with acquisitions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incurred in connection with acquisitions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within accrued expenses and other current liabilities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internally developed software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Debt issuance costs included in accounts payable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included in accrued expenses and other current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Related Party SAFE to Related Party Investment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Includes a related party gain of zero and $882 for the six months ended June 30, 2026 and 2025, respectively.</w:t>
      </w:r>
    </w:p>
    <w:p>
      <w:pPr>
        <w:pStyle w:val="TextBody"/>
        <w:bidi w:val="0"/>
        <w:spacing w:before="120" w:after="283"/>
        <w:ind w:left="0" w:right="0" w:hanging="2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cash, cash equivalents, and restricted cash reported within the condensed consolidated statements of cash flows shown above:</w:t>
      </w:r>
    </w:p>
    <w:tbl>
      <w:tblPr>
        <w:tblW w:w="6953"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11"/>
        <w:gridCol w:w="82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 Nature of Business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Life360 mobile application, the Company also offers hardware tracking devices through the sale of Tile by Life360, Inc. (“Tile”) and Life360 Pet GPS products to keep members close to the people, pets, and things they care about most. 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generates advertising revenue through the placement of third-party advertisements on its platform and across third-party publisher networks through the Company’s advertising technology platform, and other revenue through partnerships and the sale of aggregated, non-personally identifiable data for data insight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below are select significant accounting policies. Refer to Note 2, "Summary of Significant Accounting Policies" in the Company’s Annual Report for a full list of the Company’s significant accounting policies.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U.S. (“GAAP”) for interim periods and following the requirements of the SEC for interim reporting. As permitted under those rules, certain footnotes or other financial information that are normally required by GAAP can be condensed or omitted. All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2026, the Company revised its presentation of Advertising revenue and Cost of advertising revenue in the condensed consolidated statements of operations and comprehensive income to provide more meaningful information to financial statement users. Previously, Advertising revenue was included within Other revenue and Cost of advertising revenue was included within Cost of other revenue. Comparative prior period amounts have been reclassified to conform to the current period presentation. The reclassification had no impact on net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revenue recognition policies as disclosed in its Annual Report on Form 10-K for the year ended December 31, 2025. Revenue recognition disclosures have been updated in line with the presentation of Advertising revenue in the condensed consolidated statements of operations and comprehensive income.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Advertising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Advertising revenue is generated from advertisers, advertising agencies, and platform partners through managed advertising arrangements, programmatic and open marketplace channels, self-service advertising, and other advertising services. Advertisements are placed across both the Company’s own properties and third-party publisher networks. These offerings include audience targeting, advertising technology solutions, and related professional services, facilitated by the Company’s advertising technology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Managed advertising arrangements are direct sales of advertising inventory to advertisers and agencies, where the Company provides campaign management and optimization services. Programmatic advertising refers to the automated buying and selling of advertising inventory through open marketplace and other programmatic channels, including auction-based bidding on advertising exchanges. This includes exchange-based transactions where advertising inventory is made available to all buyers through both the Company’s advertising platform and third-party advertising exchanges. Self-service advertising consists of advertising media spend, platform access fees, and other advertising services through the Company's advertising technology platform. Other advertising-related services include professional services and measurement and analytics solutions.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advertising arrangements may include multiple promised services, which are evaluated to determine whether they represent distinct performance obligations, with revenue allocated to each distinct performance obligation based on its relative standalone selling price. Consideration is typically based on a per-impression or similar usage-based model, but may also include fixed fees or revenue-sharing arrangements. When arrangements involve third-party inventory or services, the Company evaluates whether it acts as the principal or agent in the transaction and reports revenue on a gross basis when it acts as the principal in the transaction, or on a net basis when it acts as an agent. Revenue from advertising arrangements, including variable consideration, is recognized in the period in which impressions are delivered or related services are performed.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other revenue consists of data and partnership revenue. Refer to the Company’s Annual Report on Form 10-K for the year ended December 31, 2025 for additional detail regarding the components and revenue recognition for data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Partnership revenue includes lead generation offerings and agreements with third parties that provide access to anonymized data insights on the Company’s mobile platform. Under these agreements, the Company may earn a percentage of the revenue generated from data insights. Revenue is recorded on a gross basis if the Company acts as the principal in the transaction, or a net basis if the Company acts as the agent. Variable consideration from partnership arrangements is recognized in the period in which the related services are delivered.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Advertising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includes cloud-based hosting costs supporting the Company’s advertising technology platform, amortization of acquired intangibles and internally-developed software, third-party data and content licensing costs, personnel-related costs, and allocated overhead, such as facilities, including rent and utilities, and shared information technology costs. For advertising revenue recognized on a gross basis, cost of advertising revenue includes traffic acquisition costs, which represent amounts paid to third-party publishers for advertising placements and inventory access. Personnel-related expenses include salaries, bonuses, benefits, and stock-based compensation for advertising operations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Cost of Other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the Company’s data platforms.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allowance for credit losses and product returns;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promotional and marketing allowances;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inventory valuation;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useful customer life;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valuation of stock-based awards, including market-based restricted stock units (“MRSUs”);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achievement of performance-based restricted stock units (“PRSUs”);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legal contingencies;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impairment of long-lived assets and goodwill;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valuation of non-cash consideration, contingent consideration, investments, convertible notes, and embedded derivatives;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useful lives of long-lived assets;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income taxes including valuation allowances on deferred tax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and judgments on historical experience and on various assumptions that it believes are reasonable under the circumstances. Actual results could differ significantly from those estimates.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The ASU introduces a practical expedient for estimating expected credit losses on current accounts receivable and current contract assets arising from revenue transactions from contracts with customers. The updates in this ASU are effective for annual periods beginning after December 15, 2025, and interim periods within those annual periods. The Company adopted this ASU on January 1, 2026 on a prospective basis. The adoption of this ASU did not have a material impact on the Company’s consolidated financial statements or related disclosures.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Accounting Pronouncements Not Yet Adopted </w:t>
      </w:r>
    </w:p>
    <w:p>
      <w:pPr>
        <w:pStyle w:val="TextBody"/>
        <w:bidi w:val="0"/>
        <w:spacing w:lineRule="auto" w:line="288" w:before="240" w:after="283"/>
        <w:jc w:val="both"/>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color w:val="000000"/>
        </w:rPr>
        <w:t xml:space="preserve"> </w:t>
      </w:r>
      <w:r>
        <w:rPr>
          <w:rFonts w:ascii="Times New Roman;serif" w:hAnsi="Times New Roman;serif"/>
          <w:b w:val="false"/>
          <w:color w:val="000000"/>
          <w:sz w:val="20"/>
        </w:rPr>
        <w:t>This ASU provides requirements for the recognition, measurement, presentation, and disclosure for environmental credits and related environmental credit obligations for entities that generate, purchase, or receive environmental credits or have a regulatory compliance obligation that may be settled using environmental credits. The ASU is effective for annual periods beginning after December 15, 2027 and interim periods within those annual periods, with early adoption permitted. The Company is currently evaluating the impact of adopting this ASU on its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ASU clarifies and reorganizes interim reporting guidance, including disclosure requirements related to events occurring since the end of the most recent annual reporting period, and improves the presentation and usability of interim financial statement disclosures. The ASU is effective for interim reporting periods within fiscal years beginning after December 15, 2027, with early adoption permitted. The Company is currently evaluating the impact of this ASU on its interim financial reporting and does not expect the adoption of this ASU to have a material impact on its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The ASU narrows the scope of derivative accounting by excluding certain non-exchange-traded contracts whose terms are based on the normal operations or activities of one of the parties, and clarifies that share-based noncash consideration received from a customer in a revenue contract should be accounted for under ASC 606 until the right to the consideration becomes unconditional. The ASU is effective for annual periods beginning after December 15, 2026, and interim periods within those annual periods, with early adoption permitted. The Company does not expect the adoption of this ASU to have a material impact on its financial position or results of operations.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The ASU eliminates project stages and requires software cost capitalization to begin after management has authorized and committed to funding the software project and it is probable the project will be completed and used to perform the function intended. The ASU also requires additional property, plant and equipment disclosures for all capitalized software costs. The ASU is effective for annual periods beginning after December 15, 2027, and interim periods within those years, with early adoption permitted. The Company is currently evaluating the impact of this ASU on its consolidated financial statements and related disclosures. </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(Subtopic 220-40): Disaggregation of Income Statement Expenses</w:t>
      </w:r>
      <w:r>
        <w:rPr>
          <w:rFonts w:ascii="Times New Roman;serif" w:hAnsi="Times New Roman;serif"/>
          <w:b w:val="false"/>
          <w:color w:val="000000"/>
          <w:sz w:val="20"/>
        </w:rPr>
        <w:t xml:space="preserve">. 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Concentrations of Risk and Significant Customers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customers primarily consist of individual consumers, who subscribe to the Company’s product offerings through its third-party platforms (each a “Channel Partner”), advertising customers, data and partnership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its accounts receivable from revenue earned from customers located in the U.S. and internationally. Channel, advertising,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information about Channel Partners that processed revenue transactions and advertising and retail partners who accounted for more than 10% of revenue or accounts receivable, respectively:</w:t>
      </w:r>
    </w:p>
    <w:tbl>
      <w:tblPr>
        <w:tblW w:w="8280" w:type="dxa"/>
        <w:jc w:val="left"/>
        <w:tblInd w:w="0" w:type="dxa"/>
        <w:tblLayout w:type="fixed"/>
        <w:tblCellMar>
          <w:top w:w="28" w:type="dxa"/>
          <w:left w:w="28" w:type="dxa"/>
          <w:bottom w:w="28" w:type="dxa"/>
          <w:right w:w="28" w:type="dxa"/>
        </w:tblCellMar>
      </w:tblPr>
      <w:tblGrid>
        <w:gridCol w:w="1283"/>
        <w:gridCol w:w="1125"/>
        <w:gridCol w:w="1131"/>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Revenue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Channel and Advertising Partner (Google)</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tbl>
      <w:tblPr>
        <w:tblW w:w="7001" w:type="dxa"/>
        <w:jc w:val="left"/>
        <w:tblInd w:w="0" w:type="dxa"/>
        <w:tblLayout w:type="fixed"/>
        <w:tblCellMar>
          <w:top w:w="28" w:type="dxa"/>
          <w:left w:w="28" w:type="dxa"/>
          <w:bottom w:w="28" w:type="dxa"/>
          <w:right w:w="28" w:type="dxa"/>
        </w:tblCellMar>
      </w:tblPr>
      <w:tblGrid>
        <w:gridCol w:w="1283"/>
        <w:gridCol w:w="1125"/>
        <w:gridCol w:w="1131"/>
        <w:gridCol w:w="254"/>
        <w:gridCol w:w="254"/>
        <w:gridCol w:w="632"/>
        <w:gridCol w:w="254"/>
        <w:gridCol w:w="254"/>
        <w:gridCol w:w="254"/>
        <w:gridCol w:w="318"/>
        <w:gridCol w:w="318"/>
        <w:gridCol w:w="92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Gross Accounts Receivable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Partner (Apple)</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and Advertising Partner (Google)</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and Advertising Partner A</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both"/>
        <w:rPr/>
      </w:pPr>
      <w:r>
        <w:rPr>
          <w:rFonts w:ascii="Times New Roman;serif" w:hAnsi="Times New Roman;serif"/>
          <w:b w:val="false"/>
          <w:i/>
          <w:color w:val="000000"/>
          <w:sz w:val="20"/>
        </w:rPr>
        <w:t>*    Represents less than 10%</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 securities with remaining maturities at the date of purchase of three months or less to be cash equivalents. Cash and cash equivalents include deposit, money market funds, and U.S. treasury securities. Money market funds are valued using quoted market prices and therefore are classified within Level 1 of the fair value hierarchy.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restricted cash, current balance of $1.0 million as of June 30, 2026, primarily relates to cash held in escrow to fund potential third-party fees. There was no restricted cash, current balance as of December 31, 2025. The restricted cash, noncurrent balance of $1.7 million and $1.6 million as of June 30, 2026 and December 31, 2025, respectively, primarily relates to cash deposits restricted under letters of credit issued on behalf of the Company in support of indebtedness to trade creditors incurred in the ordinary course of business.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all marketable debt securities that have maturities at the time of purchase greater than three months as short-term investments. The appropriate classification is determined at the time of purchase and reevaluated at each balance sheet date. These securities have been classified as available-for-sale as they represent funds readily available for current operations, and the Company has the ability and intent to liquidate them at any time to meet its operating cash needs, if necessary. The Company’s available-for-sale securities are recorded at fair value each reporting period. The majority of the securities are valued using quoted prices of similar instruments and are thus classified within Level 2 of the fair value hierarchy. The Company reports the unrealized gain (loss) on available-for-sale securities, net of tax, as a component of stockholders’ equity, except for the changes in allowance for expected credit losses, which are recorded in other income (expense), net on the condensed consolidated statements of operations and comprehensive income. The Company records accrued interest on these securities within prepaid expenses and other current assets on the condensed consolidated balance sheets. Realized gains and losses on sales of available-for-sale securities are determined using the specific identification method and are recognized in other income (expense), net, in the period of sale, with the related unrealized gain or loss reclassified from accumulated other comprehensive income (loss)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Segment and Geographic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condensed consolidated financial statements, that is regularly provided to the CODM. The allocation of resources and assessment of performance of the operating segment is based on consolidated net income and functional expenses as reported on our condensed consolidated statements of operations and comprehensive income. Because the Company operates as one operating segment, financial segment information, including expense and asset information, can be found in the condensed consolidated financial statements. All material long-lived assets are based in the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by geography is generally based on the address of the customer as defined in the contract with the customer. The following table sets forth revenue by geographic region for the periods presented (in thousands):</w:t>
      </w:r>
    </w:p>
    <w:tbl>
      <w:tblPr>
        <w:tblW w:w="8324" w:type="dxa"/>
        <w:jc w:val="left"/>
        <w:tblInd w:w="0" w:type="dxa"/>
        <w:tblLayout w:type="fixed"/>
        <w:tblCellMar>
          <w:top w:w="28" w:type="dxa"/>
          <w:left w:w="28" w:type="dxa"/>
          <w:bottom w:w="28" w:type="dxa"/>
          <w:right w:w="28" w:type="dxa"/>
        </w:tblCellMar>
      </w:tblPr>
      <w:tblGrid>
        <w:gridCol w:w="982"/>
        <w:gridCol w:w="863"/>
        <w:gridCol w:w="8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in the U.S. were $137.0 million, or 86%, of total revenue for the three months ended June 30, 2026 and $97.7 million, or 85%, of total revenue for the three months ended June 30, 2025. The Company’s revenues in the U.S. were $258.3 million, or 86%, of total revenue for the six months ended June 30, 2026 and $187.0 million, or 85%, of total revenue for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Deferred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and accounts receivable recorded in advance of revenue recognition under the Company’s subscription service arrangements and is recognized as the revenue recognition criteria are met. The Company primarily invoices its customers for its subscription services arrangements in advance. Deferred revenue also includes balances related to future performance obligations for hardware, advertising, and other revenue. Amounts anticipated to be recognized within one year of the balance sheet date are recorded as deferred revenue, current and the remaining portion is recorded as deferred revenue, noncurrent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revenue of $9.7 million and $37.6 million, respectively, that was included in the deferred revenue balance at December 31, 2025. During the three and six months ended June 30, 2025, the Company recognized revenue of $8.6 million and $31.6 million, respectively, that was included in the deferred revenue balance at December 31, 2024.</w:t>
      </w:r>
    </w:p>
    <w:p>
      <w:pPr>
        <w:pStyle w:val="TextBody"/>
        <w:bidi w:val="0"/>
        <w:spacing w:lineRule="auto" w:line="288" w:before="240" w:after="283"/>
        <w:jc w:val="both"/>
        <w:rPr/>
      </w:pPr>
      <w:r>
        <w:rPr>
          <w:rFonts w:ascii="Times New Roman;serif" w:hAnsi="Times New Roman;serif"/>
          <w:b w:val="false"/>
          <w:color w:val="000000"/>
          <w:sz w:val="20"/>
        </w:rPr>
        <w:t xml:space="preserve">Remaining performance obligations represent the amount of contracted future revenue not yet recognized as the amounts relate to undelivered performance obligations, including both deferred revenue and non-cancellable contracted amounts that will be invoiced and recognized as revenue in future periods. As permitted in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and specifically ASC 606-10-50-14(a), the Company has excluded from this amount variable consideration allocated entirely to wholly unsatisfied performance obligations. Revenue expected to be recognized in connection with remaining performance obligations was $186.8 million as of June 30, 2026, of which the Company expects 46%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Short-Term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of marketable debt securities, which are comprised of U.S. Treasury securities. The Company classifies its short-term investments as available-for-sale. Available-for-sale investments are carried at fair value, with unrealized gain (loss) on available-for-sale securities, net of tax reported as a component of accumulated other comprehensive income (loss) in the condensed consolidated balance sheets. Realized gains and losses are included in net income. The Company does not intend to sell, nor expects to be required to sell, these securities before recovery of their amortized cost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2026, the Company deployed surplus cash into a managed portfolio of U.S. Treasury securities and U.S. government money market funds. U.S. Treasury securities with original maturities greater than three months and up to twelve months at the date of purchase are classified as short-term investments. U.S. Treasury securities with original maturities of less than three months at the date of purchase and U.S. government money market funds are classified as 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available-for-sale short-term investments consisted of the following (in thousands): </w:t>
      </w:r>
    </w:p>
    <w:tbl>
      <w:tblPr>
        <w:tblW w:w="8167" w:type="dxa"/>
        <w:jc w:val="left"/>
        <w:tblInd w:w="0" w:type="dxa"/>
        <w:tblLayout w:type="fixed"/>
        <w:tblCellMar>
          <w:top w:w="28" w:type="dxa"/>
          <w:left w:w="28" w:type="dxa"/>
          <w:bottom w:w="28" w:type="dxa"/>
          <w:right w:w="28" w:type="dxa"/>
        </w:tblCellMar>
      </w:tblPr>
      <w:tblGrid>
        <w:gridCol w:w="896"/>
        <w:gridCol w:w="788"/>
        <w:gridCol w:w="790"/>
        <w:gridCol w:w="211"/>
        <w:gridCol w:w="826"/>
        <w:gridCol w:w="109"/>
        <w:gridCol w:w="109"/>
        <w:gridCol w:w="109"/>
        <w:gridCol w:w="109"/>
        <w:gridCol w:w="211"/>
        <w:gridCol w:w="361"/>
        <w:gridCol w:w="109"/>
        <w:gridCol w:w="109"/>
        <w:gridCol w:w="109"/>
        <w:gridCol w:w="109"/>
        <w:gridCol w:w="211"/>
        <w:gridCol w:w="436"/>
        <w:gridCol w:w="109"/>
        <w:gridCol w:w="109"/>
        <w:gridCol w:w="109"/>
        <w:gridCol w:w="109"/>
        <w:gridCol w:w="377"/>
        <w:gridCol w:w="1477"/>
        <w:gridCol w:w="275"/>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all short-term investments had contractual maturities of less than one year. The Company did not record an allowance for credit losses on its available-for-sale investments during the three and six months ended June 30,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$16.9 million in proceeds from the sale or maturity of available-for-sale investments during the three and six months ended June 30, 2026. No realized gains or losses were recognized during the three and six months ended June 30,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Accrued interest income on short-term investments was $0.4 million as of June 30, 2026 and is included within prepaid expenses and other current assets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Instruments are remeasured to fair value when observable price changes in orderly transactions for an identical or a similar investment of the same issuer occur.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three levels of inputs that may be used to measure fair value are as follows: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recorded carrying amounts of certain financial instruments, including cash and cash equivalents, prepaid expenses, accounts payable, and accounts receivable as of June 30, 2026 and December 31, 2025, approximate fair value due to their short-term maturities.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assets and liabilities at fair value on a recurring basis. The fair value of these assets and liabilities as of June 30, 2026 and December 31, 2025 are classified as follows (in thousands):</w:t>
      </w:r>
    </w:p>
    <w:tbl>
      <w:tblPr>
        <w:tblW w:w="9375" w:type="dxa"/>
        <w:jc w:val="left"/>
        <w:tblInd w:w="0" w:type="dxa"/>
        <w:tblLayout w:type="fixed"/>
        <w:tblCellMar>
          <w:top w:w="28" w:type="dxa"/>
          <w:left w:w="28" w:type="dxa"/>
          <w:bottom w:w="28" w:type="dxa"/>
          <w:right w:w="28" w:type="dxa"/>
        </w:tblCellMar>
      </w:tblPr>
      <w:tblGrid>
        <w:gridCol w:w="1398"/>
        <w:gridCol w:w="1230"/>
        <w:gridCol w:w="124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noncurrent: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8955" w:type="dxa"/>
        <w:jc w:val="left"/>
        <w:tblInd w:w="0" w:type="dxa"/>
        <w:tblLayout w:type="fixed"/>
        <w:tblCellMar>
          <w:top w:w="28" w:type="dxa"/>
          <w:left w:w="28" w:type="dxa"/>
          <w:bottom w:w="28" w:type="dxa"/>
          <w:right w:w="28" w:type="dxa"/>
        </w:tblCellMar>
      </w:tblPr>
      <w:tblGrid>
        <w:gridCol w:w="1398"/>
        <w:gridCol w:w="1230"/>
        <w:gridCol w:w="1242"/>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noncurrent: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Level 3 instruments are as follows (in thousands):</w:t>
      </w:r>
    </w:p>
    <w:tbl>
      <w:tblPr>
        <w:tblW w:w="4994" w:type="dxa"/>
        <w:jc w:val="left"/>
        <w:tblInd w:w="0" w:type="dxa"/>
        <w:tblLayout w:type="fixed"/>
        <w:tblCellMar>
          <w:top w:w="28" w:type="dxa"/>
          <w:left w:w="28" w:type="dxa"/>
          <w:bottom w:w="28" w:type="dxa"/>
          <w:right w:w="28" w:type="dxa"/>
        </w:tblCellMar>
      </w:tblPr>
      <w:tblGrid>
        <w:gridCol w:w="999"/>
        <w:gridCol w:w="878"/>
        <w:gridCol w:w="882"/>
        <w:gridCol w:w="434"/>
        <w:gridCol w:w="1485"/>
        <w:gridCol w:w="31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Convertible Note Investment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beginning of the year</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Convertible Note Investment </w:t>
      </w:r>
    </w:p>
    <w:p>
      <w:pPr>
        <w:pStyle w:val="TextBody"/>
        <w:bidi w:val="0"/>
        <w:spacing w:lineRule="auto" w:line="288" w:before="120" w:after="283"/>
        <w:jc w:val="both"/>
        <w:rPr/>
      </w:pPr>
      <w:r>
        <w:rPr>
          <w:rFonts w:ascii="Times New Roman;serif" w:hAnsi="Times New Roman;serif"/>
          <w:b w:val="false"/>
          <w:color w:val="000000"/>
          <w:sz w:val="20"/>
        </w:rPr>
        <w:t xml:space="preserve">In May 2025, the Company entered into a series of transactions with Aura Consolidated Group, Inc. (“Aura”) including (i) a 3-year advertising partnership and revenue sharing agreement intended to expand the Company’s advertising revenue and other revenue channels and subscription membership offerings, and (ii) a $25.0 million convertible note investment by the Company into Aura (“Convertible Note Investment”). The note bears zero interest and matures on May 12, 2030. The principal is due at maturity and includes both optional and mandatory conversion features, which may result in conversion into the issuer’s equity upon the occurrence of specific events, including financing events, change in control, or at maturity. The Company elected to apply the fair value option in accordance with ASC 825,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 xml:space="preserve">to account for the hybrid instrument as a single financial instrument. As a result, the entire instrument is measured at fair value, with changes in fair value recognized in the condensed consolidated statements of operations and comprehensive income within other income (expense). The Convertible Note Investment is included within prepaid expenses and other assets, noncurrent on the condensed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the Convertible Note Investment as Level 3 due to the absence of relevant observable inputs. The fair value of the Convertible Note Investment was estimated using a scenario-based, probability-weighted option pricing model. Significant assumptions include the discount rate as well as the timing and probability weighting of each settlement scenario.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xml:space="preserve">, which are included within prepaid expenses and other assets, noncurrent on the condensed consolidated balance sheet. Additionally, the Company measures and reports certain assets at fair value each reporting period. For additional information, refer to Note 8, "Balance Sheet Components". Instruments that are remeasured to fair value when observable price changes in orderly transactions for an identical or a similar investment of the same issuer occur are considered Level 2 investments.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Related Party Investment is classified within Level 2 of the fair value hierarchy as the valuation is based on an observable price for identical shares that are not readily determinable. The Related Party Investment balance as of June 30, 2026, was $5.9 million and is included within prepaid expenses and other assets, noncurrent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Business Combinations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Nativo, Inc.</w:t>
      </w:r>
    </w:p>
    <w:p>
      <w:pPr>
        <w:pStyle w:val="TextBody"/>
        <w:bidi w:val="0"/>
        <w:spacing w:lineRule="auto" w:line="288" w:before="120" w:after="283"/>
        <w:jc w:val="both"/>
        <w:rPr/>
      </w:pPr>
      <w:r>
        <w:rPr>
          <w:rFonts w:ascii="Times New Roman;serif" w:hAnsi="Times New Roman;serif"/>
          <w:b w:val="false"/>
          <w:color w:val="000000"/>
          <w:sz w:val="20"/>
        </w:rPr>
        <w:t xml:space="preserve">On November 9, 2025, the Company entered into an Agreement and Plan of Reorganization with Nativo, Inc. (“Nativo”) to acquire 100% of the outstanding equity interests of Nativo. Nativo is an advertising technology company that provides advertising serving, content distribution, and measurement solutions to publishers and advertisers. The acquisition accelerates and expands the Company’s advertising capabilities and monetization opportunities by leveraging Nativo's advertising technology and established publisher and advertiser relationships. The transaction closed on January 2, 2026, and has been accounted for as a business combination in accordance with ASC 805 -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The total consideration was $104.0 million, consisting of approximately $75.9 million in cash and $28.0 million in common stock, equivalent to 435,599 shares. The $75.9 million in cash consideration includes a $16.3 million indemnification holdback amount which is payable 24 months from the transaction close date upon satisfaction of certain obligations. The Company incurred transaction-related expenses of $3.8 million during the year ended December 31, 2025. No transaction costs were incurred during the three months ended June 30, 2026, and an immaterial amount was incurred during the six months ended June 30, 2026. These costs were recorded within General and administrative expenses in the condensed consolidated statements of operations and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acquisition date fair values of consideration transferred and net assets acquired (in thousands):</w:t>
      </w:r>
    </w:p>
    <w:tbl>
      <w:tblPr>
        <w:tblW w:w="5016" w:type="dxa"/>
        <w:jc w:val="left"/>
        <w:tblInd w:w="0" w:type="dxa"/>
        <w:tblLayout w:type="fixed"/>
        <w:tblCellMar>
          <w:top w:w="28" w:type="dxa"/>
          <w:left w:w="28" w:type="dxa"/>
          <w:bottom w:w="28" w:type="dxa"/>
          <w:right w:w="28" w:type="dxa"/>
        </w:tblCellMar>
      </w:tblPr>
      <w:tblGrid>
        <w:gridCol w:w="1386"/>
        <w:gridCol w:w="1217"/>
        <w:gridCol w:w="1222"/>
        <w:gridCol w:w="211"/>
        <w:gridCol w:w="82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Purchase consideration:</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purchase price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acquired and liabilities assumed: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has been allocated on a preliminary basis to the assets acquired, including intangible assets, and liabilities assumed based on their fair values as of the date of the acquisition, with the excess recorded to goodwill. The preliminary allocation may be subject to adjustment during the measurement period of up to 12 months from the date of acquisition including, but not limited to, intangible assets and income taxes. Any changes in the fair values of the assets acquired and liabilities assumed during the measurement period may result in adjustments to goodwill. Goodwill, which is not deductible for tax purposes, is primarily attributable to the value of expected synergies from the business combination, the assembled workforce, and growth opportunities.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$46.5 million of identified intangible assets recognized in connection with the acquisition are subject to amortization using the straight-line method over the following estimated useful lives:</w:t>
      </w:r>
    </w:p>
    <w:tbl>
      <w:tblPr>
        <w:tblW w:w="2924" w:type="dxa"/>
        <w:jc w:val="left"/>
        <w:tblInd w:w="0" w:type="dxa"/>
        <w:tblLayout w:type="fixed"/>
        <w:tblCellMar>
          <w:top w:w="28" w:type="dxa"/>
          <w:left w:w="28" w:type="dxa"/>
          <w:bottom w:w="28" w:type="dxa"/>
          <w:right w:w="28" w:type="dxa"/>
        </w:tblCellMar>
      </w:tblPr>
      <w:tblGrid>
        <w:gridCol w:w="719"/>
        <w:gridCol w:w="632"/>
        <w:gridCol w:w="644"/>
        <w:gridCol w:w="272"/>
        <w:gridCol w:w="272"/>
        <w:gridCol w:w="385"/>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purchase price liability of $16.3 million represents the present value of the indemnification holdback amount of approximately $17.8 million, which is payable to the sellers 24 months following the acquisition close date upon satisfaction of certain obligations. The deferred purchase price liability was discounted to present value based on a market rate of interest commensurate with the 24 month payment term. This has been recorded in Other liabilities, noncurrent on the Company’s condensed consolidated balance sheet.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not presented the pro forma results of operations for the acquisition as the impact is not material to the Company’s condensed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577" w:type="dxa"/>
        <w:jc w:val="left"/>
        <w:tblInd w:w="0" w:type="dxa"/>
        <w:tblLayout w:type="fixed"/>
        <w:tblCellMar>
          <w:top w:w="28" w:type="dxa"/>
          <w:left w:w="28" w:type="dxa"/>
          <w:bottom w:w="28" w:type="dxa"/>
          <w:right w:w="28" w:type="dxa"/>
        </w:tblCellMar>
      </w:tblPr>
      <w:tblGrid>
        <w:gridCol w:w="924"/>
        <w:gridCol w:w="811"/>
        <w:gridCol w:w="815"/>
        <w:gridCol w:w="231"/>
        <w:gridCol w:w="790"/>
        <w:gridCol w:w="119"/>
        <w:gridCol w:w="109"/>
        <w:gridCol w:w="109"/>
        <w:gridCol w:w="109"/>
        <w:gridCol w:w="303"/>
        <w:gridCol w:w="1036"/>
        <w:gridCol w:w="22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is presented net of the allowance for credit losses, which represents management’s estimate of expected credit losses based on historical trends, current economic conditions, and other relevant factors as of June 30,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accounts receivable, net are unbilled receivables, which are amounts that have not yet been invoiced to customers as of the balance sheet date, but are contractually owed to the Company. As of June 30, 2026 and December 31, 2025, unbilled receivables were $18.2 million and $10.3 million,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4422" w:type="dxa"/>
        <w:jc w:val="left"/>
        <w:tblInd w:w="0" w:type="dxa"/>
        <w:tblLayout w:type="fixed"/>
        <w:tblCellMar>
          <w:top w:w="28" w:type="dxa"/>
          <w:left w:w="28" w:type="dxa"/>
          <w:bottom w:w="28" w:type="dxa"/>
          <w:right w:w="28" w:type="dxa"/>
        </w:tblCellMar>
      </w:tblPr>
      <w:tblGrid>
        <w:gridCol w:w="505"/>
        <w:gridCol w:w="443"/>
        <w:gridCol w:w="447"/>
        <w:gridCol w:w="231"/>
        <w:gridCol w:w="790"/>
        <w:gridCol w:w="119"/>
        <w:gridCol w:w="109"/>
        <w:gridCol w:w="109"/>
        <w:gridCol w:w="109"/>
        <w:gridCol w:w="335"/>
        <w:gridCol w:w="980"/>
        <w:gridCol w:w="24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inventory write-offs recorded for the three and six months ended June 30, 2026 and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957" w:type="dxa"/>
        <w:jc w:val="left"/>
        <w:tblInd w:w="0" w:type="dxa"/>
        <w:tblLayout w:type="fixed"/>
        <w:tblCellMar>
          <w:top w:w="28" w:type="dxa"/>
          <w:left w:w="28" w:type="dxa"/>
          <w:bottom w:w="28" w:type="dxa"/>
          <w:right w:w="28" w:type="dxa"/>
        </w:tblCellMar>
      </w:tblPr>
      <w:tblGrid>
        <w:gridCol w:w="1424"/>
        <w:gridCol w:w="1248"/>
        <w:gridCol w:w="1258"/>
        <w:gridCol w:w="231"/>
        <w:gridCol w:w="790"/>
        <w:gridCol w:w="119"/>
        <w:gridCol w:w="109"/>
        <w:gridCol w:w="109"/>
        <w:gridCol w:w="109"/>
        <w:gridCol w:w="303"/>
        <w:gridCol w:w="1036"/>
        <w:gridCol w:w="221"/>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 interest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primarily consist of advance payments for certain cloud platform costs, inventory, advertising, and other costs incurred in the ordinary course of business. Other receivables primarily consist of refunds owed to the Company and other amounts which the Company is expected to receive in less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190" w:type="dxa"/>
        <w:jc w:val="left"/>
        <w:tblInd w:w="0" w:type="dxa"/>
        <w:tblLayout w:type="fixed"/>
        <w:tblCellMar>
          <w:top w:w="28" w:type="dxa"/>
          <w:left w:w="28" w:type="dxa"/>
          <w:bottom w:w="28" w:type="dxa"/>
          <w:right w:w="28" w:type="dxa"/>
        </w:tblCellMar>
      </w:tblPr>
      <w:tblGrid>
        <w:gridCol w:w="1146"/>
        <w:gridCol w:w="1005"/>
        <w:gridCol w:w="1013"/>
        <w:gridCol w:w="257"/>
        <w:gridCol w:w="750"/>
        <w:gridCol w:w="132"/>
        <w:gridCol w:w="109"/>
        <w:gridCol w:w="109"/>
        <w:gridCol w:w="109"/>
        <w:gridCol w:w="335"/>
        <w:gridCol w:w="980"/>
        <w:gridCol w:w="24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manufacturing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depreciation expense was $0.2 million and $0.4 million, respectively, and for the three and six months ended June 30, 2025, depreciation expense was $0.1 million and $0.2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impairment of property and equipment or long-lived assets recognized during the three and six months ended June 30, 2026 or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Prepaid Expenses and Other Assets, noncurrent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noncurrent consist of the following (in thousands):</w:t>
      </w:r>
    </w:p>
    <w:tbl>
      <w:tblPr>
        <w:tblW w:w="7316" w:type="dxa"/>
        <w:jc w:val="left"/>
        <w:tblInd w:w="0" w:type="dxa"/>
        <w:tblLayout w:type="fixed"/>
        <w:tblCellMar>
          <w:top w:w="28" w:type="dxa"/>
          <w:left w:w="28" w:type="dxa"/>
          <w:bottom w:w="28" w:type="dxa"/>
          <w:right w:w="28" w:type="dxa"/>
        </w:tblCellMar>
      </w:tblPr>
      <w:tblGrid>
        <w:gridCol w:w="1552"/>
        <w:gridCol w:w="1366"/>
        <w:gridCol w:w="1371"/>
        <w:gridCol w:w="231"/>
        <w:gridCol w:w="790"/>
        <w:gridCol w:w="119"/>
        <w:gridCol w:w="109"/>
        <w:gridCol w:w="109"/>
        <w:gridCol w:w="109"/>
        <w:gridCol w:w="303"/>
        <w:gridCol w:w="1036"/>
        <w:gridCol w:w="221"/>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Investment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Revenue Partner Warrant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Investment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Warrant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strategic investments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assets, noncurrent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Prepaid expenses, noncurrent primarily consist of cloud platform costs. As of June 30, 2026, other assets consist of long-term investments, including the Convertible Note Investment, a warrant to purchase shares of preferred stock of a data partner (the “Data Revenue Partner Warrant”), the Related Party Investment, a warrant to purchase shares of common stock of a Related Party (the “Related Party Warrant”), and other strategic investments in privately-held companies. As of December 31, 2025, other assets consist of long-term investments, including the Convertible Note Investment, the Data Revenue Partner Warrant, the Related Party Investment, and the Related Party Warrant. Refer to Note 6, "Fair Value Measurements" and Note 14, "Related-Party Transactions" for additional information.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under a non-cancellable operating lease with a remaining lease term of 0.4 years, which includes the option to extend the 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finance leases as of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(in thousands):</w:t>
      </w:r>
    </w:p>
    <w:tbl>
      <w:tblPr>
        <w:tblW w:w="6667" w:type="dxa"/>
        <w:jc w:val="left"/>
        <w:tblInd w:w="0" w:type="dxa"/>
        <w:tblLayout w:type="fixed"/>
        <w:tblCellMar>
          <w:top w:w="28" w:type="dxa"/>
          <w:left w:w="28" w:type="dxa"/>
          <w:bottom w:w="28" w:type="dxa"/>
          <w:right w:w="28" w:type="dxa"/>
        </w:tblCellMar>
      </w:tblPr>
      <w:tblGrid>
        <w:gridCol w:w="711"/>
        <w:gridCol w:w="625"/>
        <w:gridCol w:w="629"/>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Amounts include short-term leases, which are immaterial.</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38"/>
        <w:gridCol w:w="2290"/>
        <w:gridCol w:w="2304"/>
        <w:gridCol w:w="301"/>
        <w:gridCol w:w="664"/>
        <w:gridCol w:w="155"/>
        <w:gridCol w:w="109"/>
        <w:gridCol w:w="109"/>
        <w:gridCol w:w="109"/>
        <w:gridCol w:w="386"/>
        <w:gridCol w:w="853"/>
        <w:gridCol w:w="287"/>
      </w:tblGrid>
      <w:tr>
        <w:trPr/>
        <w:tc>
          <w:tcPr>
            <w:tcW w:w="263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(included in accrued expenses and other current liabilities)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2"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7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for operating lease (in years)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liability, which does not include short-term leases, as of June 30, 2026 were as follows (in thousands):</w:t>
      </w:r>
    </w:p>
    <w:tbl>
      <w:tblPr>
        <w:tblW w:w="4531" w:type="dxa"/>
        <w:jc w:val="left"/>
        <w:tblInd w:w="0" w:type="dxa"/>
        <w:tblLayout w:type="fixed"/>
        <w:tblCellMar>
          <w:top w:w="28" w:type="dxa"/>
          <w:left w:w="28" w:type="dxa"/>
          <w:bottom w:w="28" w:type="dxa"/>
          <w:right w:w="28" w:type="dxa"/>
        </w:tblCellMar>
      </w:tblPr>
      <w:tblGrid>
        <w:gridCol w:w="1151"/>
        <w:gridCol w:w="1011"/>
        <w:gridCol w:w="1018"/>
        <w:gridCol w:w="343"/>
        <w:gridCol w:w="757"/>
        <w:gridCol w:w="25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 net</w:t>
      </w:r>
    </w:p>
    <w:p>
      <w:pPr>
        <w:pStyle w:val="TextBody"/>
        <w:bidi w:val="0"/>
        <w:spacing w:lineRule="auto" w:line="288" w:before="120" w:after="283"/>
        <w:jc w:val="left"/>
        <w:rPr/>
      </w:pPr>
      <w:r>
        <w:rPr>
          <w:rFonts w:ascii="Times New Roman;serif" w:hAnsi="Times New Roman;serif"/>
          <w:b w:val="false"/>
          <w:color w:val="000000"/>
          <w:sz w:val="20"/>
          <w:shd w:fill="FFFFFF" w:val="clear"/>
        </w:rPr>
        <w:t>Intangible assets, net consists of the fol</w:t>
      </w:r>
      <w:r>
        <w:rPr>
          <w:rFonts w:ascii="Times New Roman;serif" w:hAnsi="Times New Roman;serif"/>
          <w:b w:val="false"/>
          <w:color w:val="000000"/>
          <w:sz w:val="20"/>
        </w:rPr>
        <w:t>lowing (in thousands):</w:t>
      </w:r>
    </w:p>
    <w:tbl>
      <w:tblPr>
        <w:tblW w:w="7490" w:type="dxa"/>
        <w:jc w:val="left"/>
        <w:tblInd w:w="0" w:type="dxa"/>
        <w:tblLayout w:type="fixed"/>
        <w:tblCellMar>
          <w:top w:w="28" w:type="dxa"/>
          <w:left w:w="28" w:type="dxa"/>
          <w:bottom w:w="28" w:type="dxa"/>
          <w:right w:w="28" w:type="dxa"/>
        </w:tblCellMar>
      </w:tblPr>
      <w:tblGrid>
        <w:gridCol w:w="913"/>
        <w:gridCol w:w="803"/>
        <w:gridCol w:w="818"/>
        <w:gridCol w:w="211"/>
        <w:gridCol w:w="826"/>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capitalized $1.3 million and $3.4 million, respectively, in internally developed software. For the three and six months ended June 30, 2025, the Company capitalized $2.4 million and $4.1 million, respectively, in internally developed software.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amortization expense was $5.5 million and $10.7 million, respectively. For the three and six months ended June 30, 2025, amortization expense was $2.9 million and $5.7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there was no impairment of intangible assets recorded.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remaining amortization expense for intangible assets by fiscal year is as follows (in thousands):</w:t>
      </w:r>
    </w:p>
    <w:tbl>
      <w:tblPr>
        <w:tblW w:w="5061" w:type="dxa"/>
        <w:jc w:val="left"/>
        <w:tblInd w:w="0" w:type="dxa"/>
        <w:tblLayout w:type="fixed"/>
        <w:tblCellMar>
          <w:top w:w="28" w:type="dxa"/>
          <w:left w:w="28" w:type="dxa"/>
          <w:bottom w:w="28" w:type="dxa"/>
          <w:right w:w="28" w:type="dxa"/>
        </w:tblCellMar>
      </w:tblPr>
      <w:tblGrid>
        <w:gridCol w:w="1439"/>
        <w:gridCol w:w="1263"/>
        <w:gridCol w:w="1273"/>
        <w:gridCol w:w="211"/>
        <w:gridCol w:w="72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useful lives of the Company’s acquired intangible assets, excluding internally developed software projects that were not yet in service, are as follows:</w:t>
      </w:r>
    </w:p>
    <w:tbl>
      <w:tblPr>
        <w:tblW w:w="6241" w:type="dxa"/>
        <w:jc w:val="left"/>
        <w:tblInd w:w="0" w:type="dxa"/>
        <w:tblLayout w:type="fixed"/>
        <w:tblCellMar>
          <w:top w:w="28" w:type="dxa"/>
          <w:left w:w="28" w:type="dxa"/>
          <w:bottom w:w="28" w:type="dxa"/>
          <w:right w:w="28" w:type="dxa"/>
        </w:tblCellMar>
      </w:tblPr>
      <w:tblGrid>
        <w:gridCol w:w="913"/>
        <w:gridCol w:w="803"/>
        <w:gridCol w:w="818"/>
        <w:gridCol w:w="380"/>
        <w:gridCol w:w="380"/>
        <w:gridCol w:w="380"/>
        <w:gridCol w:w="336"/>
        <w:gridCol w:w="336"/>
        <w:gridCol w:w="336"/>
        <w:gridCol w:w="456"/>
        <w:gridCol w:w="456"/>
        <w:gridCol w:w="647"/>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$1.7 million and $2.8 million of capitalized internally developed software projects that were not yet in service, respectively. These projects have been excluded from the weighted-average remaining useful life calculation for internally developed software in the table above.</w:t>
      </w:r>
    </w:p>
    <w:p>
      <w:pPr>
        <w:pStyle w:val="TextBody"/>
        <w:bidi w:val="0"/>
        <w:spacing w:lineRule="auto" w:line="288" w:before="240" w:after="283"/>
        <w:jc w:val="both"/>
        <w:rPr/>
      </w:pPr>
      <w:r>
        <w:rPr>
          <w:rFonts w:ascii="Times New Roman;serif" w:hAnsi="Times New Roman;serif"/>
          <w:b w:val="false"/>
          <w:color w:val="000000"/>
          <w:sz w:val="20"/>
        </w:rPr>
        <w:t>As of June 30, 2026 and December 31, 2025, goodwill was $173.6 million and $134.6 million, respectively. Goodwill increased $39.0 million in connection with the acquisition of Nativo. Refer to Note 7, "Business Combinations"</w:t>
      </w:r>
      <w:r>
        <w:rPr>
          <w:color w:val="000000"/>
        </w:rPr>
        <w:t xml:space="preserve"> </w:t>
      </w:r>
      <w:r>
        <w:rPr>
          <w:rFonts w:ascii="Times New Roman;serif" w:hAnsi="Times New Roman;serif"/>
          <w:b w:val="false"/>
          <w:color w:val="000000"/>
          <w:sz w:val="20"/>
        </w:rPr>
        <w:t>for additional information. No goodwill impairment was recorded during the three and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7287" w:type="dxa"/>
        <w:jc w:val="left"/>
        <w:tblInd w:w="0" w:type="dxa"/>
        <w:tblLayout w:type="fixed"/>
        <w:tblCellMar>
          <w:top w:w="28" w:type="dxa"/>
          <w:left w:w="28" w:type="dxa"/>
          <w:bottom w:w="28" w:type="dxa"/>
          <w:right w:w="28" w:type="dxa"/>
        </w:tblCellMar>
      </w:tblPr>
      <w:tblGrid>
        <w:gridCol w:w="1543"/>
        <w:gridCol w:w="1353"/>
        <w:gridCol w:w="1364"/>
        <w:gridCol w:w="231"/>
        <w:gridCol w:w="790"/>
        <w:gridCol w:w="119"/>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vendor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related promotions and discounts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other current liabilities primarily relate to the monetization of tariff refund claims, inventory received but not yet billed, and taxes payable. As of December 31, 2025, other current liabilities primarily relate to the Company’s deferred purchase price liability related to the Fantix, Inc. acquisition, inventory received but not yet billed, and taxes payable.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Liabilities, noncurrent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consist of the deferred purchase price liability recorded in connection with the acquisition of Nativo, which was $16.7 million and zero as of June 30,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deferred purchase price liability was recorded at present value using a market rate of interest commensurate with the 24 month payment term, with the discount accreted to interest expense over the 24 month holdback period. As of June 30, 2026, the Company had recognized approximately $0.3 million of non-cash interest accretion within other income (expense), net in the condensed consolidated statements of operations and comprehensive income. Refer to Note 7, "Business Combinations" for additional information on the acquisition of Nativo.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9. Convertible Notes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June 2025 Convertible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2025, the Company issued $320.0 million aggregate principal amount of 0.00% convertible senior notes due June 1, 2030. The June 2025 Convertible Notes are senior unsecured obligations and do not bear regular interest. Each $1,000 principal amount of the notes is initially convertible into 12.3501 shares of the Company’s common stock, which represents a conversion price of approximately $80.97 per share, subject to adjustment upon the occurrence of specified events. In certain circumstances, including conversions in connection with a make-whole fundamental change, the conversion rate may be increased, resulting in a conversion price as low as $61.11. However, the maximum number of shares issuable per $1,000 principal amount is capped at 16.3639, which is subject to the same adjustment provisions as the initial conversion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prior to the close of business on the business day immediately preceding March 1, 2030, only under the following circumstances: (1) during any fiscal quarter (and only during such quarter) beginning after September 30, 2025, if the closing price of the Company’s common stock for at least 20 trading days in any 30 consecutive trading day period ending on the last trading day of the prior fiscal quarter is greater than or equal to 130% of the then-applicable conversion price; (2) during the five business days immediately following any 10 consecutive trading day period in which the trading price per $1,000 principal amount of notes was less than 98% of the product of the closing price of the Company’s common stock and the conversion rate on each applicable trading day, following a request for such determination by a holder; (3) if the Company calls the notes for redemption, at any time prior to the close of business on the second scheduled trading day immediately preceding the redemption date; or (4) upon the occurrence of specified corporate events, such as certain mergers, reorganizations, or other changes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June 2025 Convertible Notes are convertible at the option of the holders on or after March 1, 2030, at any time prior to the close of business on the second scheduled trading day prior to the maturity date. Upon conversion, the Company will settle the principal portion of any June 2025 Convertible Notes in cash. Any amounts due on conversion over the principal portion may be settled, at the Company’s election, in cash, shares of common stock, or a combination thereof.</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June 2025 Convertible Notes prior to June 5, 2028. On or after that date, the Company may redeem all or a portion of the notes for cash if the closing price of the Company’s common stock has been at least 130% of the conversion price then in effect for at least 20 trading days (whether or not consecutive) during a 30 consecutive trading day period ending on the trading day immediately preceding the date on which the Company provides notice of redemption. The redemption price will equal the principal amount of the notes to be redeemed, plus any accrued and unpaid interest up to, but excluding, the redemption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which includes certain change-of-control transactions, a delisting of the Company’s common stock, or a liquidation event, holders may require the Company to repurchase up to 100% of their notes, plus accrued and unpaid special interest, if any, to, but excluding, the fundamental change repurchase date for cash.</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the June 2025 Convertible Notes entirely as a liability in accordance with ASC 470-20, </w:t>
      </w:r>
      <w:r>
        <w:rPr>
          <w:rFonts w:ascii="Times New Roman;serif" w:hAnsi="Times New Roman;serif"/>
          <w:b w:val="false"/>
          <w:i/>
          <w:color w:val="000000"/>
          <w:sz w:val="20"/>
        </w:rPr>
        <w:t>Debt with Conversion and Other Options,</w:t>
      </w:r>
      <w:r>
        <w:rPr>
          <w:color w:val="000000"/>
        </w:rPr>
        <w:t xml:space="preserve"> </w:t>
      </w:r>
      <w:r>
        <w:rPr>
          <w:rFonts w:ascii="Times New Roman;serif" w:hAnsi="Times New Roman;serif"/>
          <w:b w:val="false"/>
          <w:color w:val="000000"/>
          <w:sz w:val="20"/>
        </w:rPr>
        <w:t>as amended by ASU 2020-06. The embedded conversion feature is not separately accounted for as it does not require bifurcation under ASC 815,</w:t>
      </w:r>
      <w:r>
        <w:rPr>
          <w:color w:val="000000"/>
        </w:rPr>
        <w:t xml:space="preserve">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it is considered clearly and closely related to the host debt contract and does not meet the criteria for derivative accounting. The notes were issued at par and are recorded net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June 2025 Convertible Notes are classified as noncurrent as the conditions allowing holders of the notes to convert have not been met and the notes are not redeemable until June 5, 2028. The balance has been recorded within convertible notes, net, noncurrent on the Company’s condensed consolidated balance sheet.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June 2025 Convertible Notes consists of the following (in thousands):</w:t>
      </w:r>
    </w:p>
    <w:tbl>
      <w:tblPr>
        <w:tblW w:w="5792" w:type="dxa"/>
        <w:jc w:val="left"/>
        <w:tblInd w:w="0" w:type="dxa"/>
        <w:tblLayout w:type="fixed"/>
        <w:tblCellMar>
          <w:top w:w="28" w:type="dxa"/>
          <w:left w:w="28" w:type="dxa"/>
          <w:bottom w:w="28" w:type="dxa"/>
          <w:right w:w="28" w:type="dxa"/>
        </w:tblCellMar>
      </w:tblPr>
      <w:tblGrid>
        <w:gridCol w:w="999"/>
        <w:gridCol w:w="877"/>
        <w:gridCol w:w="884"/>
        <w:gridCol w:w="211"/>
        <w:gridCol w:w="826"/>
        <w:gridCol w:w="109"/>
        <w:gridCol w:w="109"/>
        <w:gridCol w:w="109"/>
        <w:gridCol w:w="109"/>
        <w:gridCol w:w="276"/>
        <w:gridCol w:w="1082"/>
        <w:gridCol w:w="201"/>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debt issuance costs are amortized to interest expense over the term of the June 2025 Convertible Notes using the effective interest rate method. The effective interest rate used to amortize the debt issuance costs is 0.68%. Interest expense recognized related to the June 2025 Convertible Notes was $0.5 million for the three months ended June 30, 2026 and $1.1 million for the six months ended June 30, 2026. Interest expense is included within other income (expense), net on the condensed consolidated statements of operations and comprehensive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June 2025 Convertible Notes, which we classify as Level 2 financial instruments, was determined using observable market prices. As of June 30, 2026, the estimated fair value of the June 2025 Convertible Notes was $337.7 million.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June 2025 Capped Calls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June 2025 Convertible Notes, the Company entered into privately-negotiated capped call transactions with certain dealer counterparties (the “June 2025 Capped Calls”). The June 2025 Capped Calls have an initial strike price of approximately $80.97 per share, which corresponds to the initial conversion price of the June 2025 Convertible Notes and is subject to certain adjustments. The June 2025 Capped Calls have a cap price of $122.22 per share, which is also subject to certain adjustments. The $33.7 million cost incurred in connection with the June 2025 Capped Calls was recorded as a reduction to Additional paid-in capital on the Company’s condensed consolidated balance sheet. This was partially offset by an $8.0 million increase to Additional paid-in capital related to the release of the associated valuation allowance in 2025. Conditions triggering adjustments to the initial strike price and the initial cap price of these capped calls are similar to those causing adjustments for the June 2025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 June 2025 Capped Calls are intended to reduce or offset potential dilution to our common stock upon any conversion of the June 2025 Convertible Notes, with this reduction or offset subject to the specified cap price. The June 2025 Capped Calls are separate transactions, and are not part of the terms of the June 2025 Convertible Notes. These transactions are classified as equity in accordance with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 they are (i) indexed to the Company’s own stock, (ii) settled in shares or permitted net-share settlement, and (iii) do not require net cash settlement. As such, the June 2025 Capped Calls have been recorded within stockholders’ equity and are not accounted for as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contractual commitments with our cloud platform provider and contract manufacturer that are non-cancellable. As of June 30, 2026, future non-cancellable commitments under these arrangements were as follows (in thousands): </w:t>
      </w:r>
    </w:p>
    <w:tbl>
      <w:tblPr>
        <w:tblW w:w="3546" w:type="dxa"/>
        <w:jc w:val="left"/>
        <w:tblInd w:w="0" w:type="dxa"/>
        <w:tblLayout w:type="fixed"/>
        <w:tblCellMar>
          <w:top w:w="28" w:type="dxa"/>
          <w:left w:w="28" w:type="dxa"/>
          <w:bottom w:w="28" w:type="dxa"/>
          <w:right w:w="28" w:type="dxa"/>
        </w:tblCellMar>
      </w:tblPr>
      <w:tblGrid>
        <w:gridCol w:w="890"/>
        <w:gridCol w:w="782"/>
        <w:gridCol w:w="788"/>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date, the Company has not incurred significant costs and has not accrued any material liabilities in the accompanying condensed consolidated financial statements as a result of its indemnification obligations.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Litigation and Arbitration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Occasionally, the Company is involved in various legal proceedings, formal and informal dispute resolution processes, which may include arbitration or litigation, claims, and government investigations in the ordinary course of business. The outcome of litigation and other legal matters is inherently uncertain, though the Company intends to vigorously defend against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2023, plaintiffs Stephanie Ireland-Gordy and Shannon Ireland-Gordy filed a putative class action lawsuit against Tile, Life360, and Amazon.com, Inc. in the U.S. District Court for the Northern District of California (the “Court”), seeking damages as well as injunctive and declaratory relief. An amended complaint was filed on April 26, 2024, adding named plaintiffs Melissa Broad and Jane Doe. Plaintiffs allege that Tile trackers were used by third parties to monitor their movements without their consent, and assert product liability and other claims. On February 14, 2025, the Company filed a Motion to Dismiss. On August 6, 2025, the Court granted the Company’s Motion to Dismiss the claims of the Ireland-Gordy plaintiffs with prejudice and the remaining plaintiffs' claims are stayed pending an appeal of the Court's ruling on the Company’s Motion to Compel Arbitration, which was granted-in-part and denied-in-part. On March 3, 2026, the U.S. Court of Appeals for the Ninth Circuit ruled in the Company’s favor, reversing the district court’s partial denial of the Motion to Compel Arbitration and directing that all remaining claims be compelled to arbitration. The deadline for plaintiffs to file a petition for a writ of certiorari with the U.S. Supreme Court passed on June 1, 2026 without a petition having been filed. At this time, a loss is not probable nor estimable, and as a result, no legal accrual has been recorded on the condensed consolidated balance sheets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receives claims and other threats of litigation from customers in the ordinary course of business. These claims are arbitrable and the Company accrues various costs for these claims, including arbitration fees, legal fees and costs. At this time, a loss is not probable nor estimable from any such claims, and as a result, no legal accruals have been recorded on the condensed consolidated balance sheet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litigation reserve was recorded on the condensed consolidated balance sheets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Common and Treasury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following potentially outstanding common stock reserved for issuance:</w:t>
      </w:r>
    </w:p>
    <w:tbl>
      <w:tblPr>
        <w:tblW w:w="9186" w:type="dxa"/>
        <w:jc w:val="left"/>
        <w:tblInd w:w="0" w:type="dxa"/>
        <w:tblLayout w:type="fixed"/>
        <w:tblCellMar>
          <w:top w:w="28" w:type="dxa"/>
          <w:left w:w="28" w:type="dxa"/>
          <w:bottom w:w="28" w:type="dxa"/>
          <w:right w:w="28" w:type="dxa"/>
        </w:tblCellMar>
      </w:tblPr>
      <w:tblGrid>
        <w:gridCol w:w="2055"/>
        <w:gridCol w:w="1804"/>
        <w:gridCol w:w="1811"/>
        <w:gridCol w:w="540"/>
        <w:gridCol w:w="541"/>
        <w:gridCol w:w="381"/>
        <w:gridCol w:w="109"/>
        <w:gridCol w:w="109"/>
        <w:gridCol w:w="109"/>
        <w:gridCol w:w="540"/>
        <w:gridCol w:w="541"/>
        <w:gridCol w:w="646"/>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3,463,900 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5,239,355 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17,050,737 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15,118,992 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25,753,992 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23,521,388 </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2026, the Company’s Board of Directors authorized a share repurchase program allowing the deployment of up to $225.0 million to repurchase the Company’s outstanding common stock (the “Repurchase Program”). The Repurchase Program has no expiration date, does not obligate the Company to acquire a specific number of shares, and may be modified, suspended, or discontinued at any time. Repurchases may be made from time to time in the open market, in privately negotiated transactions, in block trades, and/or through Rule 10b5-1 trading plans and Rule 10b-18 transactions, depending on market conditions and applicable rules and regulations. The Company accounts for treasury stock under the cost method.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314,762 shares of common stock for an aggregate purchase price of $13.2 million, and an average price of $42.02 per share, including commissions. As of June 30, 2026, $211.8 million 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12. Equity Incentive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equity incentive plan allows the Company to grant restricted stock units (“RSUs”), which includes time-based, performance-based, and market-based restricted stock units, restricted stock, as well as stock options to employees and consultants of the Company and any of the Company’s parent, subsidiaries, or affiliates, and to the members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Time-based restricted stock units (“TRSUs”) generally vest based on continued service over a specified period, which is typically four years. Each TRSU represents the right to receive one share of common stock upon vesting. The fair value of TRSUs is determined based on the closing price of the Company’s common stock on the date of grant. Stock-based compensation expense for these awards is recognized on a straight-line basis over the requisite service period and is offset by actual forfeitures as they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PRSUs are granted primarily to executive officers and, in limited cases, to certain other senior-level employees. Vesting is based on continued service and the attainment of certain financial performance metrics, including revenue and Adjusted Earnings Before Interest, Taxes, Depreciation and Amortization targets, over a one-year performance period, as established and approved by the Board of Directors. The number of shares issued upon vesting may be greater or lesser than the target award amount depending on actual performance, and shares attained above target will be recognized as awards granted in the period earned.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235,600 PRSUs during the six months ended June 30, 2026 with the weighted average grant-date fair value per share of $39.78. The fair value of PRSUs is determined based on the closing price of the Company’s common stock on the date of grant. Stock-based compensation expense is recognized on a graded-vesting basis for multi tranche awards and on a straight-line basis for single-tranche awards, based on the estimated probability of achieving the performance conditions, which is reassessed each period. If achievement of the performance conditions is not considered probable, all previously recognized stock-based compensation expense related to the unvested awards is reversed.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Market-Based Restricted Stock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MRSUs are granted to certain executive officers. Vesting is based on continued service and the Company’s total shareholder return during one-year, two-year, and three-year performance periods as measured relative to the group of companies comprising the S&amp;P Software and Services Select Index. The number of shares issued upon vesting may vary from the target award amount depending on actual performance, and shares attained over the target will be recognized as awards granted in the period earned.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106,936 MRSUs during the six months ended June 30, 2026 with the weighted average grant-date fair value per share of $39.31. Stock-based compensation expense is recognized on a graded-vesting basis over the service period and is not adjusted for actual performance outcomes.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MRSUs granted using a Monte Carlo simulation model with the following assumptions:</w:t>
      </w:r>
    </w:p>
    <w:p>
      <w:pPr>
        <w:pStyle w:val="TextBody"/>
        <w:bidi w:val="0"/>
        <w:spacing w:before="0" w:after="0"/>
        <w:jc w:val="left"/>
        <w:rPr/>
      </w:pPr>
      <w:r>
        <w:rPr/>
      </w:r>
    </w:p>
    <w:tbl>
      <w:tblPr>
        <w:tblW w:w="8267" w:type="dxa"/>
        <w:jc w:val="left"/>
        <w:tblInd w:w="0" w:type="dxa"/>
        <w:tblLayout w:type="fixed"/>
        <w:tblCellMar>
          <w:top w:w="28" w:type="dxa"/>
          <w:left w:w="28" w:type="dxa"/>
          <w:bottom w:w="28" w:type="dxa"/>
          <w:right w:w="28" w:type="dxa"/>
        </w:tblCellMar>
      </w:tblPr>
      <w:tblGrid>
        <w:gridCol w:w="1549"/>
        <w:gridCol w:w="1360"/>
        <w:gridCol w:w="1365"/>
        <w:gridCol w:w="211"/>
        <w:gridCol w:w="616"/>
        <w:gridCol w:w="271"/>
        <w:gridCol w:w="109"/>
        <w:gridCol w:w="109"/>
        <w:gridCol w:w="109"/>
        <w:gridCol w:w="211"/>
        <w:gridCol w:w="616"/>
        <w:gridCol w:w="271"/>
        <w:gridCol w:w="109"/>
        <w:gridCol w:w="109"/>
        <w:gridCol w:w="109"/>
        <w:gridCol w:w="211"/>
        <w:gridCol w:w="616"/>
        <w:gridCol w:w="316"/>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Tranche 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 based on U.S. Treasury yields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RSUs, including TRSUs, PRSUs, and MRSUs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RSU activity for the period presented is as follows:</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4,294,367 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2,725,837 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(1,146,647)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5,239,355 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total unrecognized stock-based compensation expense for outstanding RSUs of $194.0 million to be recognized over a period of approximately 3.0 years. This amount is comprised of unrecognized compensation expense of $176.1 million related to outstanding TRSUs, $10.7 million related to outstanding PRSUs, and $7.2 million related to outstanding MRSUs.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RSUs vested and settled includes shares of common stock that the Company withheld on behalf of employees to satisfy the minimum statutory tax withholding requirements.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summary of stock option activity for the periods presented is as follows (in thousands, except share and per share data):</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4,108,029 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(644,129)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3,463,900 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3,463,900 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no unrecognized stock-based compensation expense for outstanding stock options.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as follows (in thousands):</w:t>
      </w:r>
    </w:p>
    <w:tbl>
      <w:tblPr>
        <w:tblW w:w="10205" w:type="dxa"/>
        <w:jc w:val="left"/>
        <w:tblInd w:w="0" w:type="dxa"/>
        <w:tblLayout w:type="fixed"/>
        <w:tblCellMar>
          <w:top w:w="28" w:type="dxa"/>
          <w:left w:w="28" w:type="dxa"/>
          <w:bottom w:w="28" w:type="dxa"/>
          <w:right w:w="28" w:type="dxa"/>
        </w:tblCellMar>
      </w:tblPr>
      <w:tblGrid>
        <w:gridCol w:w="1833"/>
        <w:gridCol w:w="1585"/>
        <w:gridCol w:w="159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There was $0.3 million</w:t>
      </w:r>
      <w:r>
        <w:rPr>
          <w:color w:val="000000"/>
        </w:rPr>
        <w:t xml:space="preserve"> </w:t>
      </w:r>
      <w:r>
        <w:rPr>
          <w:rFonts w:ascii="Times New Roman;serif" w:hAnsi="Times New Roman;serif"/>
          <w:b w:val="false"/>
          <w:color w:val="000000"/>
          <w:sz w:val="20"/>
        </w:rPr>
        <w:t>and $0.9 million of capitalized stock-based compensation costs recognized during the three and six months ended June 30, 2026, respectively. There was $0.3 million and $0.6 million of capitalized stock-based compensation costs recognized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13. Income Taxes </w:t>
      </w:r>
    </w:p>
    <w:p>
      <w:pPr>
        <w:pStyle w:val="TextBody"/>
        <w:bidi w:val="0"/>
        <w:spacing w:lineRule="auto" w:line="288" w:before="120" w:after="283"/>
        <w:jc w:val="both"/>
        <w:rPr/>
      </w:pPr>
      <w:r>
        <w:rPr>
          <w:rFonts w:ascii="Times New Roman;serif" w:hAnsi="Times New Roman;serif"/>
          <w:b w:val="false"/>
          <w:color w:val="000000"/>
          <w:sz w:val="20"/>
        </w:rPr>
        <w:t xml:space="preserve">The provision for income taxes for interim quarterly reporting periods is based on the Company's estimates of the effective tax rates for the full fiscal year, in accordance with ASC 740-270, </w:t>
      </w:r>
      <w:r>
        <w:rPr>
          <w:rFonts w:ascii="Times New Roman;serif" w:hAnsi="Times New Roman;serif"/>
          <w:b w:val="false"/>
          <w:i/>
          <w:color w:val="000000"/>
          <w:sz w:val="20"/>
        </w:rPr>
        <w:t>Income Taxes, Interim Reporting</w:t>
      </w:r>
      <w:r>
        <w:rPr>
          <w:rFonts w:ascii="Times New Roman;serif" w:hAnsi="Times New Roman;serif"/>
          <w:b w:val="false"/>
          <w:color w:val="000000"/>
          <w:sz w:val="20"/>
        </w:rPr>
        <w:t xml:space="preserve">. ASC 740-270-25-2 requires that an annual effective tax rate be determined and such annual effective rate be applied to year-to-date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excluding unusual or infrequently occurring discrete items, for the reporting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a benefit from income taxes of $4.0 million and $15.7 million, respectively. The effective tax rate differs from the U.S. federal statutory rate primarily due to executive compensation and other non-deductible expenses offset by tax credits, as well as discrete tax benefits recognized in the quarter, which were primarily related to excess tax benefits for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recorded a benefit from income taxes of $0.4 million and $0.6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Hubble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entered into a strategic partnership and series of transactions with Hubble Network, Inc. (“Hubble”), including (i) a technology exclusivity and revenue share agreement (“Hubble Agreement”); (ii) a Hubble SAFE investment (“Related Party SAFE”); and (iii) Hubble’s issuance of a warrant to purchase common stock (“Related Party Warrant”). The Hubble Agreement has an initial term of 5 years beginning on November 12,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pStyle w:val="TextBody"/>
        <w:bidi w:val="0"/>
        <w:spacing w:lineRule="auto" w:line="288" w:before="240" w:after="283"/>
        <w:jc w:val="both"/>
        <w:rPr/>
      </w:pPr>
      <w:r>
        <w:rPr>
          <w:rFonts w:ascii="Times New Roman;serif" w:hAnsi="Times New Roman;serif"/>
          <w:b w:val="false"/>
          <w:color w:val="000000"/>
          <w:sz w:val="20"/>
        </w:rPr>
        <w:t>The partnership agreement includes revenue-share payments in which Hubble wil</w:t>
      </w:r>
      <w:r>
        <w:rPr>
          <w:rFonts w:ascii="Times New Roman;serif" w:hAnsi="Times New Roman;serif"/>
          <w:b w:val="false"/>
          <w:color w:val="000000"/>
          <w:sz w:val="20"/>
          <w:shd w:fill="FFFFFF" w:val="clear"/>
        </w:rPr>
        <w:t xml:space="preserve">l pay the Company a percentage of revenue earned from leveraging the new global location-tracking network service offering. </w:t>
      </w:r>
      <w:r>
        <w:rPr>
          <w:rFonts w:ascii="Times New Roman;serif" w:hAnsi="Times New Roman;serif"/>
          <w:b w:val="false"/>
          <w:color w:val="000000"/>
          <w:sz w:val="20"/>
        </w:rPr>
        <w:t xml:space="preserve">The partnership also allows Hubble to purchase Tile hardware devices at a price equal to the Company’s burdened cost of goods sold plus 12.5%. The Company recognized $0.1 million in other revenue from the revenue-share arrangement for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No revenue was earned from the revenue-share arrangement in the three and six months</w:t>
      </w:r>
      <w:r>
        <w:rPr>
          <w:color w:val="000000"/>
          <w:shd w:fill="FFFFFF" w:val="clear"/>
        </w:rPr>
        <w:t xml:space="preserve"> </w:t>
      </w:r>
      <w:r>
        <w:rPr>
          <w:rFonts w:ascii="Times New Roman;serif" w:hAnsi="Times New Roman;serif"/>
          <w:b w:val="false"/>
          <w:color w:val="000000"/>
          <w:sz w:val="20"/>
          <w:shd w:fill="FFFFFF" w:val="clear"/>
        </w:rPr>
        <w:t xml:space="preserve">ended June 30, 2025. </w:t>
      </w:r>
      <w:r>
        <w:rPr>
          <w:rFonts w:ascii="Times New Roman;serif" w:hAnsi="Times New Roman;serif"/>
          <w:b w:val="false"/>
          <w:color w:val="000000"/>
          <w:sz w:val="20"/>
        </w:rPr>
        <w:t xml:space="preserve">The Company recognized $0.1 million in hardware revenue from Hubble for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related cost of hardware revenue totaled $0.1 million for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was no hardware revenue or cost of hardware revenue from Hubble for the three and six months</w:t>
      </w:r>
      <w:r>
        <w:rPr>
          <w:color w:val="000000"/>
          <w:shd w:fill="FFFFFF" w:val="clear"/>
        </w:rPr>
        <w:t xml:space="preserve"> </w:t>
      </w:r>
      <w:r>
        <w:rPr>
          <w:rFonts w:ascii="Times New Roman;serif" w:hAnsi="Times New Roman;serif"/>
          <w:b w:val="false"/>
          <w:color w:val="000000"/>
          <w:sz w:val="20"/>
          <w:shd w:fill="FFFFFF" w:val="clear"/>
        </w:rPr>
        <w:t>ended June 30, 2025.</w:t>
      </w:r>
      <w:r>
        <w:rPr>
          <w:color w:val="000000"/>
        </w:rPr>
        <w:t xml:space="preserve"> </w:t>
      </w:r>
      <w:r>
        <w:rPr>
          <w:rFonts w:ascii="Times New Roman;serif" w:hAnsi="Times New Roman;serif"/>
          <w:b w:val="false"/>
          <w:color w:val="000000"/>
          <w:sz w:val="20"/>
        </w:rPr>
        <w:t xml:space="preserve">These amounts are reflected within hardware revenue and cost of hardware revenue, respectively, on the Company’s condensed consolidated statements of operations and comprehensive income (loss). The Company recorded $0.1 million and immaterial amounts from Hubble within accounts receivable, net,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December 31, 2025, respectively on the </w:t>
      </w:r>
      <w:r>
        <w:rPr>
          <w:rFonts w:ascii="Times New Roman;serif" w:hAnsi="Times New Roman;serif"/>
          <w:b w:val="false"/>
          <w:color w:val="000000"/>
          <w:sz w:val="20"/>
          <w:shd w:fill="FFFFFF" w:val="clear"/>
        </w:rPr>
        <w:t>Company’s condensed consolidated balance sheets.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As of June 30, 2026, 2,049,191 shares of the Related Party Warrant have vested. The warrant was valued using a Black Scholes option-pricing model, and the fair value of approximately $3.9 million has been included as consideration in the transaction price of the Related Party Agreement, and is also included in prepaid expenses and other assets, noncurrent and deferred revenue on the Company’s condensed consolidated balance sheets. The fair value of the warrant included within deferred revenue is amortized</w:t>
      </w:r>
      <w:r>
        <w:rPr>
          <w:color w:val="000000"/>
          <w:shd w:fill="FFFFFF" w:val="clear"/>
        </w:rPr>
        <w:t xml:space="preserve"> </w:t>
      </w:r>
      <w:r>
        <w:rPr>
          <w:rFonts w:ascii="Times New Roman;serif" w:hAnsi="Times New Roman;serif"/>
          <w:b w:val="false"/>
          <w:color w:val="000000"/>
          <w:sz w:val="20"/>
          <w:shd w:fill="FFFFFF" w:val="clear"/>
        </w:rPr>
        <w:t xml:space="preserve">to other revenue over the life of the agreement. The Company recognized $0.2 million and $0.4 million in other revenue on the condensed consolidated statements of operations and comprehensive income in connection with the Related Party Warrant during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June 30, 2026, respectively. The Company recognized $0.2 million and $0.5 million in other revenue on the condensed consolidated statements of operations and comprehensive income in connection with the Related Party Warrant during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respectively. The related deferred revenue, current and deferred revenue, noncurrent balance as of June 30, 2026 w</w:t>
      </w:r>
      <w:r>
        <w:rPr>
          <w:rFonts w:ascii="Times New Roman;serif" w:hAnsi="Times New Roman;serif"/>
          <w:b w:val="false"/>
          <w:color w:val="000000"/>
          <w:sz w:val="20"/>
        </w:rPr>
        <w:t>as $0.8 million and $1.9 million, respect</w:t>
      </w:r>
      <w:r>
        <w:rPr>
          <w:rFonts w:ascii="Times New Roman;serif" w:hAnsi="Times New Roman;serif"/>
          <w:b w:val="false"/>
          <w:color w:val="000000"/>
          <w:sz w:val="20"/>
          <w:shd w:fill="FFFFFF" w:val="clear"/>
        </w:rPr>
        <w:t xml:space="preserve">ively. The deferred revenue, current and deferred revenue, noncurrent balance as of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$0.8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 xml:space="preserve">, respectively.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April 2025, the Related Party SAFE converted into shares of preferred stock (the “Related Party Investment”). The conversion resulted in an observable price change of $0.9 million, which was recorded within gain on change in fair value of investments on the condensed consolidated statement of operations and comprehensive income (loss) during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June 30, 2025. As of June 30, 2026, the carrying value of the Related Party Investment was </w:t>
      </w:r>
      <w:r>
        <w:rPr>
          <w:rFonts w:ascii="Times New Roman;serif" w:hAnsi="Times New Roman;serif"/>
          <w:b w:val="false"/>
          <w:color w:val="000000"/>
          <w:sz w:val="20"/>
        </w:rPr>
        <w:t>$5.9 million</w:t>
      </w:r>
      <w:r>
        <w:rPr>
          <w:color w:val="000000"/>
          <w:shd w:fill="FFFFFF" w:val="clear"/>
        </w:rPr>
        <w:t xml:space="preserve"> </w:t>
      </w:r>
      <w:r>
        <w:rPr>
          <w:rFonts w:ascii="Times New Roman;serif" w:hAnsi="Times New Roman;serif"/>
          <w:b w:val="false"/>
          <w:color w:val="000000"/>
          <w:sz w:val="20"/>
          <w:shd w:fill="FFFFFF" w:val="clear"/>
        </w:rPr>
        <w:t xml:space="preserve">and is included within prepaid expenses and other assets, noncurrent on the condensed consolidated balance sheet. Refer to </w:t>
      </w:r>
      <w:r>
        <w:rPr>
          <w:rFonts w:ascii="Times New Roman;serif" w:hAnsi="Times New Roman;serif"/>
          <w:b w:val="false"/>
          <w:color w:val="000000"/>
          <w:sz w:val="20"/>
        </w:rPr>
        <w:t>Note 6, "Fair Value Measurements"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15. Net Income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calculated by dividing net income available to common stockholders by the weighted-average number of shares of common stock outstanding for the period. Diluted net income per share reflects the potential dilution that could occur if options, RSUs, warrants, or other securities with features that could result in the issuance of common stock were exercised or converted to common stock using the treasury-stock method.</w:t>
      </w:r>
    </w:p>
    <w:p>
      <w:pPr>
        <w:pStyle w:val="TextBody"/>
        <w:bidi w:val="0"/>
        <w:spacing w:lineRule="auto" w:line="288" w:before="240" w:after="283"/>
        <w:jc w:val="both"/>
        <w:rPr/>
      </w:pPr>
      <w:r>
        <w:rPr>
          <w:rFonts w:ascii="Times New Roman;serif" w:hAnsi="Times New Roman;serif"/>
          <w:b w:val="false"/>
          <w:color w:val="000000"/>
          <w:sz w:val="20"/>
        </w:rPr>
        <w:t xml:space="preserve">In connection with the June 2025 Convertible Notes, the Company applied the if-converted method under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to calculate diluted earnings per share. Since the June 2025 Convertible Notes require principal settlement in cash and only the premium is potentially settled in shares, the Company includes the incremental dilutive shares (the conversion spread) in the denominator only when the average stock price exceeds the conversion price. For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June 2025 Convertible Notes were not dilutive, and therefore no incremental shares were included in diluted EPS.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share and per share information):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5"/>
        <w:gridCol w:w="1398"/>
        <w:gridCol w:w="1416"/>
        <w:gridCol w:w="275"/>
        <w:gridCol w:w="806"/>
        <w:gridCol w:w="110"/>
        <w:gridCol w:w="110"/>
        <w:gridCol w:w="110"/>
        <w:gridCol w:w="110"/>
        <w:gridCol w:w="275"/>
        <w:gridCol w:w="806"/>
        <w:gridCol w:w="110"/>
        <w:gridCol w:w="109"/>
        <w:gridCol w:w="109"/>
        <w:gridCol w:w="109"/>
        <w:gridCol w:w="275"/>
        <w:gridCol w:w="806"/>
        <w:gridCol w:w="109"/>
        <w:gridCol w:w="109"/>
        <w:gridCol w:w="109"/>
        <w:gridCol w:w="109"/>
        <w:gridCol w:w="244"/>
        <w:gridCol w:w="837"/>
        <w:gridCol w:w="159"/>
      </w:tblGrid>
      <w:tr>
        <w:trPr/>
        <w:tc>
          <w:tcPr>
            <w:tcW w:w="15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81,002,338 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76,797,385 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76,254,119 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options, RSUs, warrants, or other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4,592,123 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7,678,663 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7,726,576 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85,594,461 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84,476,048 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83,980,695 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Life360,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potential shares of common stock were excluded from the diluted net income per share calculation as their inclusion would have been antidilutive. Excluded shares are as follows:</w:t>
      </w:r>
    </w:p>
    <w:tbl>
      <w:tblPr>
        <w:tblW w:w="10205" w:type="dxa"/>
        <w:jc w:val="left"/>
        <w:tblInd w:w="0" w:type="dxa"/>
        <w:tblLayout w:type="fixed"/>
        <w:tblCellMar>
          <w:top w:w="28" w:type="dxa"/>
          <w:left w:w="28" w:type="dxa"/>
          <w:bottom w:w="28" w:type="dxa"/>
          <w:right w:w="28" w:type="dxa"/>
        </w:tblCellMar>
      </w:tblPr>
      <w:tblGrid>
        <w:gridCol w:w="1367"/>
        <w:gridCol w:w="1190"/>
        <w:gridCol w:w="1193"/>
        <w:gridCol w:w="678"/>
        <w:gridCol w:w="298"/>
        <w:gridCol w:w="240"/>
        <w:gridCol w:w="240"/>
        <w:gridCol w:w="240"/>
        <w:gridCol w:w="240"/>
        <w:gridCol w:w="676"/>
        <w:gridCol w:w="300"/>
        <w:gridCol w:w="240"/>
        <w:gridCol w:w="109"/>
        <w:gridCol w:w="109"/>
        <w:gridCol w:w="109"/>
        <w:gridCol w:w="518"/>
        <w:gridCol w:w="308"/>
        <w:gridCol w:w="215"/>
        <w:gridCol w:w="215"/>
        <w:gridCol w:w="215"/>
        <w:gridCol w:w="215"/>
        <w:gridCol w:w="611"/>
        <w:gridCol w:w="365"/>
        <w:gridCol w:w="314"/>
      </w:tblGrid>
      <w:tr>
        <w:trPr/>
        <w:tc>
          <w:tcPr>
            <w:tcW w:w="136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vesting of restricted stock units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1,035,198 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887,164 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upon conversion of convertible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5,236,448 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5,236,448 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1,035,198 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5,260,598 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887,164 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5,265,262 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2025, filed with the SEC on March 2, 2026 (“Annual Report”). In addition to historical financial information, the following discussion contains forward-looking statements that are based upon current plans, expectations, and beliefs that involve risks and uncertainties. Our actual results could differ materially from those discussed in the forward-looking statements as a result of a variety of factors, including but not limited to those discussed in “Risk Factors” under Part I, Item 1A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additional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 We also generate advertising revenue through the placement of third-party advertisements on our platform and across third-party publisher networks through our advertising technology platform, and other revenue through partnerships and the sale of aggregated, non-personally identifiable data for data insight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the offerings on our platform; attracting and retaining talent; seasonality; international expansion; and growth and monetization of advertising offerings.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of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describes certain line items in our condensed consolidated statements of operations and comprehensive income.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sales of subscriptions on our platform, including Life360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our hardware revenue from the sale of hardware tracking devices and related accessories. For hardware and accessories, revenue is recognized at the time products are delivered. We sell hardware tracking devices and accessories through a number of channels including our website and online retail.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Advertising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revenue consists of fees earned from the placement of third-party advertisements across our own properties and third-party publisher networks. We generate advertising revenue through both direct relationships with brands and advertisers as well as through programmatic advertising networks. Advertisements are displayed to users in the form of in-app display advertisements and sponsored placements. Advertising revenue is driven primarily by the number of impressions delivered and the rates at which those impressions are sold.</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consists of data and partnership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through the recognition of revenue related to a warrant to purchase common stock of a related party (“Related Party Warrant”).</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Revenue and Gross Margin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Subscription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internally developed software,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increasing the capacity and enhancing the capability and reliability of our infrastructure to support member growth and increased use of our platform. We expect that cost of revenue will increase in absolute dollars in future periods.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Hardware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write-downs of excess and obsolete inventory, amortization of acquired intangibles, and allocated overhead, such as facilities, including rent and utilities, and shared information technology costs. Personnel-related expenses include salaries, bonuses, benefits, and stock-based compensation for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Advertising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includes cloud-based hosting costs supporting our advertising technology platform, amortization of acquired intangibles and internally-developed software, third-party data and content licensing costs, personnel-related costs, and allocated overhead, such as facilities, including rent and utilities, and shared information technology costs. For advertising revenue recognized on a gross basis, cost of advertising revenue includes traffic acquisition costs, which represent amounts paid to third-party publishers for advertising placements and inventory access. Personnel-related expenses include salaries, bonuses, benefits, and stock-based compensation for advertising operations personnel.</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Other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includes cloud-based hosting costs as well as costs of product operations functions and personnel-related costs associated with our data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Gross Profit and Gross Profit Margin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w:t>
      </w:r>
    </w:p>
    <w:p>
      <w:pPr>
        <w:pStyle w:val="TextBody"/>
        <w:bidi w:val="0"/>
        <w:spacing w:lineRule="auto" w:line="288" w:before="3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sales and marketing expenses consist primarily of commissions to our third-party platforms (each a “Channel Partner”), personnel-related costs, brand marketing costs, lead generation costs, growth media and other marketing spend to support strategic initiatives, sales incentives, sponsorships, amortization of acquired intangibles, bad debt expense, and allocated overhead. Commission payments to Channel Partners in connection with annual subscription sales of our mobile application on third-party store platforms are considered to be incremental and recoverable costs of obtaining a contract with a customer and are expensed as incurred or deferred and amortized over an estimated period of benefit of three years depending on the subscription type.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general and administrative expenses will increase in absolute dollars as our business grows.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(loss) on Change in Fair Value of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Company measures certain non-marketable equity securities and warrant investments at fair value on a nonrecurring basis in accordance with ASC 321, </w:t>
      </w:r>
      <w:r>
        <w:rPr>
          <w:rFonts w:ascii="Times New Roman;serif" w:hAnsi="Times New Roman;serif"/>
          <w:b w:val="false"/>
          <w:i/>
          <w:color w:val="000000"/>
          <w:sz w:val="20"/>
        </w:rPr>
        <w:t>Investment - Equity Securities</w:t>
      </w:r>
      <w:r>
        <w:rPr>
          <w:rFonts w:ascii="Times New Roman;serif" w:hAnsi="Times New Roman;serif"/>
          <w:b w:val="false"/>
          <w:color w:val="000000"/>
          <w:sz w:val="20"/>
        </w:rPr>
        <w:t xml:space="preserve">. In April 2025, the SAFE investment in a related party (the “Related Party SAFE”) converted into shares of preferred stock (the “Related Party Investment”), as a result of an observable price change. Additionally, the Company measures and reports certain assets at fair value each reporting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May 2025, we entered into a series of transactions with Aura Consolidated Group, Inc. (“Aura”), which included a convertible note investment into Aura (“Convertible Note Investment”). We elected to apply the fair value option in accordance with ASC 825</w:t>
      </w:r>
      <w:r>
        <w:rPr>
          <w:rFonts w:ascii="Times New Roman;serif" w:hAnsi="Times New Roman;serif"/>
          <w:b w:val="false"/>
          <w:i/>
          <w:color w:val="000000"/>
          <w:sz w:val="20"/>
        </w:rPr>
        <w:t xml:space="preserve">, Financial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(loss) on change in fair value of investments relates to the change in fair value associated with the Convertible Note Investment and the observable price change upon the conversion of the Related Party SAFE into the Related Party Investment.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 balances received from bank deposits, money market funds, and short-term investments, as well as the amortization of discounts on our short-term investments and cash equivalents.</w:t>
      </w:r>
    </w:p>
    <w:p>
      <w:pPr>
        <w:pStyle w:val="TextBody"/>
        <w:bidi w:val="0"/>
        <w:spacing w:lineRule="auto" w:line="288" w:before="30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foreign currency exchange gains/(losses) related to the remeasurement of certain assets and liabilities of our foreign subsidiaries that are denominated in currencies other than the functional currency of the subsidiary, foreign exchange transaction gains/(losses), interest expense primarily related to convertible notes and the deferred purchase price liability related to the acquisition of Nativo, Inc. (“Nativo”), and a loss related to the monetization of tariff refund claims.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Benefit from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consists of U.S. federal and state income taxes and foreign income taxes in jurisdictions in which we conduct business. Deferred income taxes reflect the net tax effect of temporary differences between the carrying amount of assets and liabilities for financial reporting purposes and the amounts used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and comprehensive income for the three and six months ended June 30, 2026 and 2025 (in thousands, except percentages).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8"/>
        <w:gridCol w:w="466"/>
        <w:gridCol w:w="467"/>
        <w:gridCol w:w="211"/>
        <w:gridCol w:w="826"/>
        <w:gridCol w:w="109"/>
        <w:gridCol w:w="109"/>
        <w:gridCol w:w="109"/>
        <w:gridCol w:w="109"/>
        <w:gridCol w:w="211"/>
        <w:gridCol w:w="721"/>
        <w:gridCol w:w="109"/>
        <w:gridCol w:w="109"/>
        <w:gridCol w:w="109"/>
        <w:gridCol w:w="109"/>
        <w:gridCol w:w="308"/>
        <w:gridCol w:w="308"/>
        <w:gridCol w:w="483"/>
        <w:gridCol w:w="109"/>
        <w:gridCol w:w="109"/>
        <w:gridCol w:w="109"/>
        <w:gridCol w:w="211"/>
        <w:gridCol w:w="826"/>
        <w:gridCol w:w="109"/>
        <w:gridCol w:w="109"/>
        <w:gridCol w:w="109"/>
        <w:gridCol w:w="109"/>
        <w:gridCol w:w="211"/>
        <w:gridCol w:w="826"/>
        <w:gridCol w:w="109"/>
        <w:gridCol w:w="109"/>
        <w:gridCol w:w="109"/>
        <w:gridCol w:w="109"/>
        <w:gridCol w:w="317"/>
        <w:gridCol w:w="318"/>
        <w:gridCol w:w="546"/>
      </w:tblGrid>
      <w:tr>
        <w:trPr/>
        <w:tc>
          <w:tcPr>
            <w:tcW w:w="87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subscription revenue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hardware revenue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advertising revenue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other revenue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revenue</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expenses</w:t>
            </w:r>
            <w:r>
              <w:rPr>
                <w:rFonts w:ascii="Times New Roman;serif" w:hAnsi="Times New Roman;serif"/>
                <w:b/>
                <w:color w:val="000000"/>
                <w:sz w:val="13"/>
              </w:rPr>
              <w:t>(1)</w:t>
            </w:r>
            <w:r>
              <w:rPr>
                <w:rFonts w:ascii="Times New Roman;serif" w:hAnsi="Times New Roman;serif"/>
                <w:b/>
                <w:color w:val="000000"/>
                <w:sz w:val="20"/>
              </w:rPr>
              <w:t xml:space="preserv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 (in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64"/>
        <w:gridCol w:w="739"/>
        <w:gridCol w:w="743"/>
        <w:gridCol w:w="211"/>
        <w:gridCol w:w="721"/>
        <w:gridCol w:w="109"/>
        <w:gridCol w:w="109"/>
        <w:gridCol w:w="109"/>
        <w:gridCol w:w="109"/>
        <w:gridCol w:w="211"/>
        <w:gridCol w:w="721"/>
        <w:gridCol w:w="109"/>
        <w:gridCol w:w="109"/>
        <w:gridCol w:w="109"/>
        <w:gridCol w:w="109"/>
        <w:gridCol w:w="233"/>
        <w:gridCol w:w="233"/>
        <w:gridCol w:w="483"/>
        <w:gridCol w:w="109"/>
        <w:gridCol w:w="109"/>
        <w:gridCol w:w="109"/>
        <w:gridCol w:w="211"/>
        <w:gridCol w:w="721"/>
        <w:gridCol w:w="109"/>
        <w:gridCol w:w="109"/>
        <w:gridCol w:w="109"/>
        <w:gridCol w:w="109"/>
        <w:gridCol w:w="211"/>
        <w:gridCol w:w="721"/>
        <w:gridCol w:w="109"/>
        <w:gridCol w:w="109"/>
        <w:gridCol w:w="109"/>
        <w:gridCol w:w="109"/>
        <w:gridCol w:w="233"/>
        <w:gridCol w:w="233"/>
        <w:gridCol w:w="545"/>
      </w:tblGrid>
      <w:tr>
        <w:trPr/>
        <w:tc>
          <w:tcPr>
            <w:tcW w:w="96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as a percentage of total revenue:</w:t>
      </w:r>
    </w:p>
    <w:tbl>
      <w:tblPr>
        <w:tblW w:w="9506" w:type="dxa"/>
        <w:jc w:val="left"/>
        <w:tblInd w:w="0" w:type="dxa"/>
        <w:tblLayout w:type="fixed"/>
        <w:tblCellMar>
          <w:top w:w="28" w:type="dxa"/>
          <w:left w:w="28" w:type="dxa"/>
          <w:bottom w:w="28" w:type="dxa"/>
          <w:right w:w="28" w:type="dxa"/>
        </w:tblCellMar>
      </w:tblPr>
      <w:tblGrid>
        <w:gridCol w:w="1908"/>
        <w:gridCol w:w="1676"/>
        <w:gridCol w:w="1680"/>
        <w:gridCol w:w="232"/>
        <w:gridCol w:w="234"/>
        <w:gridCol w:w="333"/>
        <w:gridCol w:w="134"/>
        <w:gridCol w:w="134"/>
        <w:gridCol w:w="134"/>
        <w:gridCol w:w="232"/>
        <w:gridCol w:w="234"/>
        <w:gridCol w:w="333"/>
        <w:gridCol w:w="109"/>
        <w:gridCol w:w="109"/>
        <w:gridCol w:w="109"/>
        <w:gridCol w:w="232"/>
        <w:gridCol w:w="234"/>
        <w:gridCol w:w="292"/>
        <w:gridCol w:w="117"/>
        <w:gridCol w:w="117"/>
        <w:gridCol w:w="117"/>
        <w:gridCol w:w="232"/>
        <w:gridCol w:w="234"/>
        <w:gridCol w:w="340"/>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expenses: </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change in fair value of investments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securities, net of tax</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Revenue </w:t>
      </w:r>
    </w:p>
    <w:tbl>
      <w:tblPr>
        <w:tblW w:w="11630" w:type="dxa"/>
        <w:jc w:val="left"/>
        <w:tblInd w:w="0" w:type="dxa"/>
        <w:tblLayout w:type="fixed"/>
        <w:tblCellMar>
          <w:top w:w="28" w:type="dxa"/>
          <w:left w:w="28" w:type="dxa"/>
          <w:bottom w:w="28" w:type="dxa"/>
          <w:right w:w="28" w:type="dxa"/>
        </w:tblCellMar>
      </w:tblPr>
      <w:tblGrid>
        <w:gridCol w:w="552"/>
        <w:gridCol w:w="301"/>
        <w:gridCol w:w="30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1"/>
        <w:gridCol w:w="235"/>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1"/>
        <w:gridCol w:w="235"/>
        <w:gridCol w:w="316"/>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revenue increased $27.1 million, or 31%, during the three months ended June 30, 2026 as compared to the three months ended June 30, 2025, primarily due to a 27% growth in Paying Circles and an 18% growth in total subscriptions. Additionally, subscription revenue in the current period benefited from a 5% uplift in ARPPC. Please refer to the “Key Performance Indicators” section for definitions of key performance indicators (“KPIs”).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revenue decreased $2.5 million, or 20%, during the three months ended June 30, 2026 as compared to the three months ended June 30, 2025. The decline was primarily driven by an 18% decrease in Net hardware units shipped.</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Advertising revenue increased</w:t>
      </w:r>
      <w:r>
        <w:rPr>
          <w:color w:val="000000"/>
        </w:rPr>
        <w:t xml:space="preserve"> </w:t>
      </w:r>
      <w:r>
        <w:rPr>
          <w:rFonts w:ascii="Times New Roman;serif" w:hAnsi="Times New Roman;serif"/>
          <w:b w:val="false"/>
          <w:color w:val="000000"/>
          <w:sz w:val="20"/>
        </w:rPr>
        <w:t xml:space="preserve">$16.7 million, or 315%, during the three months ended June 30, 2026 as compared to the three months ended June 30, 2025. This was primarily driven by a $14.1 million increase in managed advertising, a $1.3 million increase in self-service advertising, a $0.7 million increase in programmatic advertising, and a $0.6 million increase in other advertising revenue, primarily attributable to the acquisition of Nativo. We expect advertising revenue to grow as we continue to integrate Nativo's platform, expand advertiser relationships, and increase advertising inventory across the Life360 platform.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increased $2.3 million, or 25%, during the three months ended June 30, 2026 as compared to the three months ended June 30, 2025. This was due to a $1.6 million increase in data revenue, which was primarily attributable to increased data volumes resulting from user growth, and a $0.7 million increase in partnership revenue, primarily driven by higher revenue share from an existing partner.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Subscription revenue increased $53.4 million, or 31%, during the six months ended June 30, 2026 as compared to the six months ended June 30, 2025, primarily driven by a 27% growth in Paying Circles and 18% growth in total subscriptions. Additionally, subscription revenue in the current period benefited from a 6% uplift in ARPPC.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Hardware revenue decreased $6.8 million, or 32%, during the six months ended June 30, 2026 as compared to the six months ended June 30, 2025. The decline was primarily driven by a 21% decrease in Net hardware units shipped, contributing to a $3.8 million decrease in hardware revenue. This decrease was also impacted by a $2.5 million increase in discounts, of which $1.0 million was directly attributable to the strategic exit of the brick-and-mortar retail channel, and a $0.5 million</w:t>
      </w:r>
      <w:r>
        <w:rPr>
          <w:color w:val="000000"/>
        </w:rPr>
        <w:t xml:space="preserve"> </w:t>
      </w:r>
      <w:r>
        <w:rPr>
          <w:rFonts w:ascii="Times New Roman;serif" w:hAnsi="Times New Roman;serif"/>
          <w:b w:val="false"/>
          <w:color w:val="000000"/>
          <w:sz w:val="20"/>
        </w:rPr>
        <w:t>reduction in revenue related to bundled offerings.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Advertising revenue increased</w:t>
      </w:r>
      <w:r>
        <w:rPr>
          <w:color w:val="000000"/>
        </w:rPr>
        <w:t xml:space="preserve"> </w:t>
      </w:r>
      <w:r>
        <w:rPr>
          <w:rFonts w:ascii="Times New Roman;serif" w:hAnsi="Times New Roman;serif"/>
          <w:b w:val="false"/>
          <w:color w:val="000000"/>
          <w:sz w:val="20"/>
        </w:rPr>
        <w:t xml:space="preserve">$31.8 million, or 322%, during the six months ended June 30, 2026 as compared to the six months ended June 30, 2025. This was primarily driven by a $26.7 million increase in managed advertising, primarily attributable to the acquisition of Nativo as well as an increase in spending from existing advertisers. Also attributable to the acquisition of Nativo, there was a $2.2 million increase in self-service advertising, a $2.2 million increase in other advertising revenue, and a $0.7 million increase in programmatic advertising. We expect advertising revenue to grow as we continue to integrate Nativo's platform, expand advertiser relationships, and increase advertising inventory across the Life360 platform.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increased $4.8 million, or 27%, during the six months ended June 30, 2026 as compared to the six months ended June 30, 2025, due to a $3.6 million increase in data revenue, which was primarily attributable to increased data volumes resulting from user growth, and a $1.2 million increase in partnership revenue, primarily driven by higher revenue share from an existing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Cost of Revenue, Gross Profit, and Gross Margin </w:t>
      </w:r>
    </w:p>
    <w:tbl>
      <w:tblPr>
        <w:tblW w:w="10417" w:type="dxa"/>
        <w:jc w:val="left"/>
        <w:tblInd w:w="0" w:type="dxa"/>
        <w:tblLayout w:type="fixed"/>
        <w:tblCellMar>
          <w:top w:w="28" w:type="dxa"/>
          <w:left w:w="28" w:type="dxa"/>
          <w:bottom w:w="28" w:type="dxa"/>
          <w:right w:w="28" w:type="dxa"/>
        </w:tblCellMar>
      </w:tblPr>
      <w:tblGrid>
        <w:gridCol w:w="552"/>
        <w:gridCol w:w="301"/>
        <w:gridCol w:w="303"/>
        <w:gridCol w:w="248"/>
        <w:gridCol w:w="390"/>
        <w:gridCol w:w="391"/>
        <w:gridCol w:w="109"/>
        <w:gridCol w:w="109"/>
        <w:gridCol w:w="109"/>
        <w:gridCol w:w="248"/>
        <w:gridCol w:w="338"/>
        <w:gridCol w:w="338"/>
        <w:gridCol w:w="109"/>
        <w:gridCol w:w="109"/>
        <w:gridCol w:w="109"/>
        <w:gridCol w:w="211"/>
        <w:gridCol w:w="337"/>
        <w:gridCol w:w="339"/>
        <w:gridCol w:w="109"/>
        <w:gridCol w:w="109"/>
        <w:gridCol w:w="109"/>
        <w:gridCol w:w="200"/>
        <w:gridCol w:w="200"/>
        <w:gridCol w:w="171"/>
        <w:gridCol w:w="109"/>
        <w:gridCol w:w="109"/>
        <w:gridCol w:w="109"/>
        <w:gridCol w:w="248"/>
        <w:gridCol w:w="390"/>
        <w:gridCol w:w="391"/>
        <w:gridCol w:w="109"/>
        <w:gridCol w:w="109"/>
        <w:gridCol w:w="109"/>
        <w:gridCol w:w="248"/>
        <w:gridCol w:w="390"/>
        <w:gridCol w:w="391"/>
        <w:gridCol w:w="109"/>
        <w:gridCol w:w="109"/>
        <w:gridCol w:w="109"/>
        <w:gridCol w:w="211"/>
        <w:gridCol w:w="337"/>
        <w:gridCol w:w="339"/>
        <w:gridCol w:w="109"/>
        <w:gridCol w:w="109"/>
        <w:gridCol w:w="109"/>
        <w:gridCol w:w="189"/>
        <w:gridCol w:w="189"/>
        <w:gridCol w:w="238"/>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hardware revenue</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advertising revenue</w:t>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increased $2.2 million, or 17%, during the three months ended June 30, 2026 as compared to the three months ended June 30, 2025, primarily due to increases of $1.4 million in technology expenses and $0.3 million in amortization of internally developed software related to the release of new features and significant updates on our platform, both attributable to Company growth. In addition, costs associated with premium membership offerings increased $0.9 million. These increases were partially offset by a $0.4 million decrease in personnel-related and stock-based compensation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increased to 87% during the three months ended June 30, 2026 from 85% during the three months ended June 30, 2025, primarily due to a shift in product mix toward higher-priced offerings and price increases across select international markets throughout the second half of 2025.</w:t>
      </w:r>
    </w:p>
    <w:p>
      <w:pPr>
        <w:pStyle w:val="TextBody"/>
        <w:bidi w:val="0"/>
        <w:spacing w:lineRule="auto" w:line="288" w:before="240" w:after="283"/>
        <w:ind w:left="0" w:right="0" w:firstLine="450"/>
        <w:jc w:val="both"/>
        <w:rPr/>
      </w:pPr>
      <w:r>
        <w:rPr>
          <w:rFonts w:ascii="Times New Roman;serif" w:hAnsi="Times New Roman;serif"/>
          <w:b w:val="false"/>
          <w:color w:val="000000"/>
          <w:sz w:val="20"/>
        </w:rPr>
        <w:t>Cost of hardware revenue decreased $4.6 million, or 45%</w:t>
      </w:r>
      <w:r>
        <w:rPr>
          <w:rFonts w:ascii="Arial;sans-serif" w:hAnsi="Arial;sans-serif"/>
          <w:b w:val="false"/>
          <w:color w:val="000000"/>
          <w:sz w:val="24"/>
        </w:rPr>
        <w:t xml:space="preserve">, </w:t>
      </w:r>
      <w:r>
        <w:rPr>
          <w:rFonts w:ascii="Times New Roman;serif" w:hAnsi="Times New Roman;serif"/>
          <w:b w:val="false"/>
          <w:color w:val="000000"/>
          <w:sz w:val="20"/>
        </w:rPr>
        <w:t>during the three months ended June 30, 2026 as compared to the three months ended June 30, 2025, primarily due to a $3.6 million benefit from the receipt of tariff refund claims and a $0.5 million decrease in tariff costs from reduced tariff rates. Also contributing were decreases of $0.4 million, in personnel-related and stock-based compensation costs due to lower headcount, and $0.4 million in hardware product costs related to the reduced number of units sold. These were partially offset by a $0.3 million increase in other cost of hardware revenue related expenses.</w:t>
      </w:r>
    </w:p>
    <w:p>
      <w:pPr>
        <w:pStyle w:val="TextBody"/>
        <w:bidi w:val="0"/>
        <w:spacing w:lineRule="auto" w:line="288" w:before="240" w:after="283"/>
        <w:ind w:left="0" w:right="0" w:firstLine="450"/>
        <w:jc w:val="both"/>
        <w:rPr/>
      </w:pPr>
      <w:r>
        <w:rPr>
          <w:rFonts w:ascii="Times New Roman;serif" w:hAnsi="Times New Roman;serif"/>
          <w:b w:val="false"/>
          <w:color w:val="000000"/>
          <w:sz w:val="20"/>
        </w:rPr>
        <w:t>Hardware gross margin increased to 43% during the three months ended June 30, 2026 from 17%</w:t>
      </w:r>
      <w:r>
        <w:rPr>
          <w:color w:val="000000"/>
        </w:rPr>
        <w:t xml:space="preserve"> </w:t>
      </w:r>
      <w:r>
        <w:rPr>
          <w:rFonts w:ascii="Times New Roman;serif" w:hAnsi="Times New Roman;serif"/>
          <w:b w:val="false"/>
          <w:color w:val="000000"/>
          <w:sz w:val="20"/>
        </w:rPr>
        <w:t>during the three months ended June 30, 2025, primarily due to the benefit from the receipt of tariff refund claims and reduced tariff costs. We continue to prioritize hardware as a driver of subscription growth by optimizing pricing and bundling to increase subscription attachment over standalone hardware margin.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increased $9.0 million, or 1,744%, during the three months ended June 30, 2026 as compared to the three months ended June 30, 2025. The increase was primarily due to increases of $3.6 million in traffic acquisition costs, $2.6 million in technology and hosting costs, $1.5 million in personnel-related and stock-based compensation costs, $0.9 million in third-party data and content licensing costs, and $0.4 million in amortization of acquired technology, attributable to the acquisition of Nativo.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gross margin decreased to 57% during the three months ended June 30, 2026 from 90% during the three months ended June 30, 2025, primarily due to higher costs associated with our expanded advertising platform following the acquisition of Nativo, resulting in a shift in margin mix relative to our existing advertising offerings.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increased $0.6 million, or 55%, during the three months ended June 30, 2026 as compared to the three months ended June 30, 2025, due to an increase of $0.6 million in technology and other related expenses to support the existing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decreased to 85% during the three months ended June 30, 2026 from 88% during the three months ended June 30, 2025, primarily due to higher technology costs supporting growth in our data business.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increased $6.6 million, or 28%, during the six months ended June 30, 2026 as compared to the six months ended June 30, 2025, primarily due to increases of $3.4 million in technology expenses, $0.8 million in personnel-related and stock-based compensation costs, and $0.5 million in amortization of internally developed software related to the release of new features and significant updates on our platform, all attributable to Company growth. In addition, costs associated with premium membership offerings increased $1.9 million.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Subscription gross margin increased to 87% during the six months ended June 30, 2026 from 86% during the six months ended June 30, 2025, primarily due to a shift in product mix toward higher-priced offerings and price increases across select international markets throughout the second half of 2025.</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hardware revenue decreased by $4.6 million, or 25%, during the six months ended June 30, 2026 as compared to the six months ended June 30, 2025, primarily due to a $3.6 million benefit from the receipt of tariff refund claims and a $0.3 million decrease in tariff costs from reduced tariff rates. Also contributing were decreases of $0.4 million in hardware product and freight costs, related to the reduced number of units sold, and $0.3 million in personnel-related and stock-based compensation costs due to lower headcount.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Hardware gross margin decreased to 1% during the six months ended June 30, 2026 from 11% during the six months ended June 30, 2025, as the decline in hardware revenue from the Company’s strategic exit of the brick-and-mortar retail channel outpaced the benefit to cost of hardware revenue from tariff refund claims and lower tariff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advertising revenue increased $16.7 million, or 2,143%, during the six months ended June 30, 2026 as compared to the six months ended June 30, 2025. The increase was primarily due to increases of $6.2 million in traffic acquisition costs, $5.3 million in technology and hosting costs, $3.1 million in personnel-related and stock-based compensation costs, $1.3 million in third-party data and content licensing costs, and $0.8 million in amortization of acquired technology, all attributable to the acquisition of Nativo.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Advertising gross margin decreased to 58% during the six months ended June 30, 2026 from 92% during the six months ended June 30, 2025, primarily due to higher costs associated with our expanded advertising platform following the acquisition of Nativo, resulting in a shift in margin mix relative to our existing advertising offerings.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other revenue increased $1.0 million, or 47%, during the six months ended June 30, 2026 as compared to the six months ended June 30, 2025, due to increases of $1.0 million in technology and other related expenses to support the existing customer base.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gross margin decreased to 85% during the six months ended June 30, 2026 from 87% during the six months ended June 30, 2025, primarily due to higher technology costs supporting growth in our data business.</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w:t>
      </w:r>
    </w:p>
    <w:tbl>
      <w:tblPr>
        <w:tblW w:w="11030" w:type="dxa"/>
        <w:jc w:val="left"/>
        <w:tblInd w:w="0" w:type="dxa"/>
        <w:tblLayout w:type="fixed"/>
        <w:tblCellMar>
          <w:top w:w="28" w:type="dxa"/>
          <w:left w:w="28" w:type="dxa"/>
          <w:bottom w:w="28" w:type="dxa"/>
          <w:right w:w="28" w:type="dxa"/>
        </w:tblCellMar>
      </w:tblPr>
      <w:tblGrid>
        <w:gridCol w:w="582"/>
        <w:gridCol w:w="301"/>
        <w:gridCol w:w="3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$15.1 million, or 47%, during the three months ended June 30, 2026 as compared to the three months ended June 30, 2025, primarily due to a $6.5 million increase in personnel-related and stock-based compensation costs, including those related to the acquisition of Nativo, and a $4.5 million increase in technology and other expenses due to Company growth. Also contributing were $1.7 million in workplace restructuring costs associated with the Company’s transition to an AI-Native organization, $1.0 million of lower capitalized internally developed software costs, a $0.6 million increase in professional and outside services, a $0.5 million decrease in capitalized construction in progress costs, in line with the Company’s product development roadmap, and $0.3 million of Nativo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$24.0 million, or 38%, during the six months ended June 30, 2026 as compared to the six months ended June 30, 2025, primarily due to increases of $12.9 million in personnel-related and stock-based compensation costs, including those related to the acquisition of Nativo, and a $5.8 million increase in technology and other expenses due to Company growth. Also contributing were $1.7 million in workplace restructuring costs associated with the Company’s transition to an AI-Native organization, a $1.6 million increase in professional and outside services, a $1.3 million decrease in capitalized construction in progress costs, in line with the Company’s product development roadmap, $0.4 million of lower capitalized internally developed software costs, and $0.3 million of Nativo integration costs.</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and Marketing</w:t>
      </w:r>
    </w:p>
    <w:tbl>
      <w:tblPr>
        <w:tblW w:w="1089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$13.4 million, or 35%, during the three months ended June 30, 2026 as compared to the three months ended June 30, 2025. This was primarily due to increases of $6.3 million in personnel-related and stock-based compensation costs and $1.8 million in amortization of acquired intangible assets, each primarily attributable to the acquisition of Nativo. Additional increases include $5.0 million in commissions to the Company’s Channel Partners, in line with the increase in subscription revenue, and $1.2 million in technology and other expenses, attributable to Company growth. These increases were partially offset by a $0.9 million decrease in growth media and other marketing costs due to the planned timing of spend.</w:t>
      </w:r>
    </w:p>
    <w:p>
      <w:pPr>
        <w:pStyle w:val="TextBody"/>
        <w:bidi w:val="0"/>
        <w:spacing w:lineRule="auto" w:line="288" w:before="240" w:after="283"/>
        <w:ind w:left="0" w:right="0" w:firstLine="450"/>
        <w:jc w:val="both"/>
        <w:rPr/>
      </w:pPr>
      <w:r>
        <w:rPr>
          <w:rFonts w:ascii="Times New Roman;serif" w:hAnsi="Times New Roman;serif"/>
          <w:b w:val="false"/>
          <w:color w:val="000000"/>
          <w:sz w:val="20"/>
        </w:rPr>
        <w:t>Sales and marketing expenses increased $35.2 million, or 47%, during the six months ended June 30, 2026 as compared to the six months ended June 30, 2025. This was primarily due to increases of $11.1 million in personnel-related and stock-based compensation costs and $3.5 million in amortization of acquired intangible assets, each primarily attributable to the acquisition of Nativo. Additional increases include $9.9 million in commissions to the Company’s Channel Partners, in line with the increase in subscription revenue, $7.5 million in growth media and other marketing spend to support strategic initiatives, $2.2 million in technology and other expenses attributable to Company growth, $0.6 million</w:t>
      </w:r>
      <w:r>
        <w:rPr>
          <w:color w:val="000000"/>
        </w:rPr>
        <w:t xml:space="preserve"> </w:t>
      </w:r>
      <w:r>
        <w:rPr>
          <w:rFonts w:ascii="Times New Roman;serif" w:hAnsi="Times New Roman;serif"/>
          <w:b w:val="false"/>
          <w:color w:val="000000"/>
          <w:sz w:val="20"/>
        </w:rPr>
        <w:t>in Nativo integration costs, and $0.4 million in severance costs related to the strategic exit of the brick-and-mortar retail channel.</w:t>
      </w:r>
    </w:p>
    <w:p>
      <w:pPr>
        <w:pStyle w:val="TextBody"/>
        <w:bidi w:val="0"/>
        <w:spacing w:lineRule="auto" w:line="288" w:before="36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and Administrative</w:t>
      </w:r>
    </w:p>
    <w:tbl>
      <w:tblPr>
        <w:tblW w:w="11030" w:type="dxa"/>
        <w:jc w:val="left"/>
        <w:tblInd w:w="0" w:type="dxa"/>
        <w:tblLayout w:type="fixed"/>
        <w:tblCellMar>
          <w:top w:w="28" w:type="dxa"/>
          <w:left w:w="28" w:type="dxa"/>
          <w:bottom w:w="28" w:type="dxa"/>
          <w:right w:w="28" w:type="dxa"/>
        </w:tblCellMar>
      </w:tblPr>
      <w:tblGrid>
        <w:gridCol w:w="687"/>
        <w:gridCol w:w="301"/>
        <w:gridCol w:w="3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$9.9 million, or 57%, during the three months ended June 30, 2026 as compared to the three months ended June 30, 2025. This was primarily due to increases of $7.5 million in personnel-related and stock-based compensation costs and $1.1 million in technology and other expenses, both attributable to Company growth. Additional increases include $0.6 million in warehouse relocation costs related to the move of certain hardware manufacturing operations, $0.5 million in professional and outside services, and $0.2 million in Nativo integration costs.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$16.6 million, or 50%, during the six months ended June 30, 2026 as compared to the six months ended June 30, 2025. This was primarily due to increases of $12.9 million in personnel-related and stock-based compensation costs and $1.8 million in technology and other expenses, both attributable to Company growth. Additional increases include $1.2 million in warehouse relocation costs related to the move of certain hardware manufacturing operations, and $0.7 million in Nativo integration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Gain (loss) on Change in Fair Value of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April 2025, an observable price change related to the conversion of the Related Party SAFE into the Related Party Investment took place. As a result, a $0.9 million</w:t>
      </w:r>
      <w:r>
        <w:rPr>
          <w:color w:val="000000"/>
        </w:rPr>
        <w:t xml:space="preserve"> </w:t>
      </w:r>
      <w:r>
        <w:rPr>
          <w:rFonts w:ascii="Times New Roman;serif" w:hAnsi="Times New Roman;serif"/>
          <w:b w:val="false"/>
          <w:color w:val="000000"/>
          <w:sz w:val="20"/>
        </w:rPr>
        <w:t>gain related to the observable price change was recognized during the three and six months ended June 30, 2025. No such transaction occurred during the three and six months ended June 30, 2026.</w:t>
      </w:r>
    </w:p>
    <w:p>
      <w:pPr>
        <w:pStyle w:val="TextBody"/>
        <w:bidi w:val="0"/>
        <w:spacing w:lineRule="auto" w:line="288" w:before="240" w:after="283"/>
        <w:ind w:left="0" w:right="0" w:firstLine="450"/>
        <w:jc w:val="both"/>
        <w:rPr/>
      </w:pPr>
      <w:r>
        <w:rPr>
          <w:rFonts w:ascii="Times New Roman;serif" w:hAnsi="Times New Roman;serif"/>
          <w:b w:val="false"/>
          <w:color w:val="000000"/>
          <w:sz w:val="20"/>
        </w:rPr>
        <w:t xml:space="preserve">In May 2025, the Company entered into a series of transactions with Aura, which included the $25.0 million Convertible Note Investment. The Company elected to apply the fair value option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As a result, a loss related to the revaluation of the Convertible Note Investment of $0.9 million and $4.7 million was recognized during the three and six months ended June 30, 2026, respectively, compared to a gain of $0.4 million for both the three and six months ended June 30, 2025.</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$1.6 million, or 64%, during the three months ended June 30, 2026 as compared to the three months ended June 30, 2025, resulting from higher average gross yields and higher amortization of discounts on increased cash and cash equivalents and short-term investment balances.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$3.7 million, or 85%, during the six months ended June 30, 2026 as compared to the six months ended June 30, 2025, resulting from higher average gross yields and higher amortization of discounts on increased cash and cash equivalents and short-term investment balances.</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Other income (expense), net decreased $3.0 million, or 368%, during the three months ended June 30, 2026 as compared to the three months ended June 30, 2025. This was primarily driven by a $1.3 million</w:t>
      </w:r>
      <w:r>
        <w:rPr>
          <w:color w:val="000000"/>
        </w:rPr>
        <w:t xml:space="preserve"> </w:t>
      </w:r>
      <w:r>
        <w:rPr>
          <w:rFonts w:ascii="Times New Roman;serif" w:hAnsi="Times New Roman;serif"/>
          <w:b w:val="false"/>
          <w:color w:val="000000"/>
          <w:sz w:val="20"/>
        </w:rPr>
        <w:t>loss related to the monetization of tariff refunds, a $1.1 million increase in foreign exchange losses, a $0.4 million increase in interest expense related to the June 2025 Convertible Notes, and a $0.2 million increase in interest expense related to the deferred purchase price liability from the acquisition of Nativo. Refer to Note 7, "Business Combinations" and Note 8, "Balance Sheet Components" for additional information on the acquisition of Nativo and the related deferred purchase price liability.</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$4.0 million, or 396%, during the six months ended June 30, 2026 as compared to the six months ended June 30, 2025. This was primarily driven by a $1.5 million increase in foreign exchange losses, a $1.3 million loss related to the monetization of tariff refunds, a $0.9 million increase in interest expense related to the June 2025 Convertible Notes, and a $0.3 million increase in interest expense related to the deferred purchase price liability from the acquisition of Nativo.</w:t>
      </w:r>
    </w:p>
    <w:p>
      <w:pPr>
        <w:pStyle w:val="TextBody"/>
        <w:bidi w:val="0"/>
        <w:spacing w:lineRule="auto" w:line="288" w:before="360" w:after="283"/>
        <w:ind w:left="0" w:right="0" w:firstLine="45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Benefit from Income Taxes</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increased $3.6 million during the three months ended June 30, 2026, as compared to the three months ended June 30, 2025, primarily due to changes in the Company's annual estimated effective tax rate because the Company no longer maintains a full valuation allowance on its U.S. deferred tax assets and discrete tax benefits. For the three months ended June 30, 2026, we recorded a total income tax benefit of $4.0 million, consisting of a $1.3 million benefit based on the annual estimated effective tax rate, primarily reflecting the loss before income taxes for the period, and $2.7 million of discrete tax benefits, primarily related to stock-based compensation.</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Benefit from income taxes increased $15.1 million during the six months ended June 30, 2026, as compared to the six months ended June 30, 2025, primarily because the Company no longer maintains a full valuation allowance on its U.S. deferred tax assets. For the six months ended June 30, 2026, we recorded a total income tax benefit of $15.7 million, consisting of a $4.0 million benefit based on the annual estimated effective tax rate, primarily due to the loss before income tax for the period, and $11.7 million of discrete tax benefits, primarily related to stock-based compensation.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California state tax credits and Canadian Scientific Research and Experimental Development credits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Key Performance Indicators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review several operating metrics, including the following Key Performance Indicators (“KPIs”), to evaluate our business, measure our performance, identify trends affecting our business, develop financial forecasts, and make strategic decisions. We believe these KPIs are useful to investors because they allow for greater transparency with respect to key metrics used by management in its financial and operational decision-making, and they may be used by investors to help analyze the health of our business. KPIs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pStyle w:val="TextBody"/>
        <w:bidi w:val="0"/>
        <w:spacing w:before="0" w:after="0"/>
        <w:jc w:val="both"/>
        <w:rPr/>
      </w:pPr>
      <w:r>
        <w:rPr/>
      </w:r>
    </w:p>
    <w:p>
      <w:pPr>
        <w:pStyle w:val="TextBody"/>
        <w:bidi w:val="0"/>
        <w:spacing w:lineRule="auto" w:line="288" w:before="3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Key Performance Indicators</w:t>
      </w:r>
    </w:p>
    <w:tbl>
      <w:tblPr>
        <w:tblW w:w="10205" w:type="dxa"/>
        <w:jc w:val="left"/>
        <w:tblInd w:w="0" w:type="dxa"/>
        <w:tblLayout w:type="fixed"/>
        <w:tblCellMar>
          <w:top w:w="28" w:type="dxa"/>
          <w:left w:w="28" w:type="dxa"/>
          <w:bottom w:w="28" w:type="dxa"/>
          <w:right w:w="28" w:type="dxa"/>
        </w:tblCellMar>
      </w:tblPr>
      <w:tblGrid>
        <w:gridCol w:w="1010"/>
        <w:gridCol w:w="683"/>
        <w:gridCol w:w="686"/>
        <w:gridCol w:w="211"/>
        <w:gridCol w:w="721"/>
        <w:gridCol w:w="109"/>
        <w:gridCol w:w="109"/>
        <w:gridCol w:w="109"/>
        <w:gridCol w:w="109"/>
        <w:gridCol w:w="211"/>
        <w:gridCol w:w="721"/>
        <w:gridCol w:w="109"/>
        <w:gridCol w:w="109"/>
        <w:gridCol w:w="109"/>
        <w:gridCol w:w="109"/>
        <w:gridCol w:w="207"/>
        <w:gridCol w:w="207"/>
        <w:gridCol w:w="483"/>
        <w:gridCol w:w="109"/>
        <w:gridCol w:w="109"/>
        <w:gridCol w:w="109"/>
        <w:gridCol w:w="226"/>
        <w:gridCol w:w="773"/>
        <w:gridCol w:w="116"/>
        <w:gridCol w:w="116"/>
        <w:gridCol w:w="116"/>
        <w:gridCol w:w="116"/>
        <w:gridCol w:w="226"/>
        <w:gridCol w:w="773"/>
        <w:gridCol w:w="116"/>
        <w:gridCol w:w="109"/>
        <w:gridCol w:w="109"/>
        <w:gridCol w:w="109"/>
        <w:gridCol w:w="204"/>
        <w:gridCol w:w="204"/>
        <w:gridCol w:w="553"/>
      </w:tblGrid>
      <w:tr>
        <w:trPr/>
        <w:tc>
          <w:tcPr>
            <w:tcW w:w="10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Three </w:t>
              <w:br/>
              <w:t xml:space="preserve">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ARPPC, ARPPS and ASP)</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Paying Circles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ARPPC</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ARPPS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hardware units shipped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ASP</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16"/>
        </w:rPr>
      </w:pPr>
      <w:r>
        <w:rPr>
          <w:rFonts w:ascii="Times New Roman;serif" w:hAnsi="Times New Roman;serif"/>
          <w:b w:val="false"/>
          <w:color w:val="000000"/>
          <w:sz w:val="16"/>
        </w:rPr>
        <w:t>(1) Excludes revenue related to bundled Life360 subscription and hardware offerings, which was immaterial for the three and six months ended June 30, 2026, and $(0.3) million and $(0.7) million for the three and six months ended June 30, 2025, respectively.</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(2) Excludes revenue related to bundled Life360 subscription and hardware offerings, which was $0.1 million for the three and six months ended June 30, 2026, and $0.3 million and $0.6 million for the three and six months ended June 30, 2025, respectively.</w:t>
      </w:r>
    </w:p>
    <w:p>
      <w:pPr>
        <w:pStyle w:val="TextBody"/>
        <w:bidi w:val="0"/>
        <w:spacing w:lineRule="auto" w:line="288" w:before="24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Annualized Monthly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June 30, 2026, and 2025 was $537.2 million and $416.1 million, respectively, representing an increase of 29% year-over-year, which is largely attributable to continued subscriber growth and an increase in other recurring revenue.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Monthly Active Users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large and growing global member base as of June 30, 2026. A Life360 Monthly Active User (“MAU”) is defined as a unique member who engages with our Life360 branded services each month, which includes both paying and non-paying members, and excludes certain members who have a delayed account setup. As of June 30, 2026 and 2025, we had approximately 102.4 million and approximately 88.0 million MAUs on the Life360 platform, respectively, representing an increase of 16% year-over-year. We believe this has been driven by continued new member growth and retention.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reported in our Quarterly Report on Form 10-Q for the three months ended March 31, 2026, MAU growth during the three months ended March 31, 2026 was impacted by Android-related technical issues affecting new user registration, which were resolved by April 2026. MAU growth trends for the three months ended June 30, 2026 are consistent with the Company’s previously disclosed full-year 2026 MAU growth expectation of approximately 17% to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Paying Circles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we had approximately 3.2 million and 2.5 million paid subscribers to services under our Life360 brand, respectively, representing an increase of 27% year-over-year. We grow the number of Paying Circles by increasing our free member base, converting free members to subscribers, and retaining them over time with the provision of high-quality family connectivity and safety services.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Circle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our ARPPC was $142.56 and $135.42, respectively, representing a 5% increase year-over-year. For the six months ended June 30, 2026 and 2025, our ARPPC was $142.99 and $134.49, respectively, representing a 6% increase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ARPPC is a key indicator utilized by the Company to determine our effectiveness at monetizing Paying Circles through tiered product offerings. The year-over-year growth in ARPPC primarily reflects a shift in product mix toward higher-priced offerings and price increases across select international markets throughout the second half of 2025.</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Subscriptions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Subscriptions as the number of paying subscribers associated with the Life360 and Tile brands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we had approximately 3.7 million and 3.1 million paid subscribers, respectively, to services under the Life360 and Tile brands, representing an increase of 18%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ARPPS as annualized total subscription revenue recognized and derived from Life360 and Tile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for the three months ended June 30, 2026 and 2025 was $128.38 and $116.06, respectively, representing an increase of 11% year-over-year. ARPPS for the six months ended June 30, 2026 and 2025 was $127.80 and $114.57, respectively, representing an increase of 12% year-over-year.</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ARPPS has increased year-over-year as a result of a shift in product mix towards higher-priced offerings and price increases across select international markets throughout the second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Hardware Units Shipped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 consumers. Selling units contributes to hardware revenue and ultimately increases the number of members eligible for a subscription.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Life360 sold approximately 0.7 million units and 0.8 million units, respectively, representing a decrease of 18% year-over-year. For the six months ended June 30, 2026 and 2025, we sold approximately 1.0 million units and 1.3 million units, respectively, representing a decrease of 21% year-over-year.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Net hardware units shipped was primarily due to the strategic exit of the brick-and-mortar retail channel and a decrease in online retail sales. </w:t>
      </w:r>
    </w:p>
    <w:p>
      <w:pPr>
        <w:pStyle w:val="TextBody"/>
        <w:bidi w:val="0"/>
        <w:spacing w:lineRule="auto" w:line="288" w:before="30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Net Average Sales Price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Net ASP per unit was $14.70 and $14.81, respectively, representing a decrease of 1% year-over-year. For the six months ended June 30, 2026 and 2025, the Net ASP per unit was $13.68 and $15.64, respectively, representing a decrease of 13% year-over-year. The decrease in Net ASP was primarily due to increased discounts related to the strategic exit of the brick-and-mortar retail channel.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$467.7 million in cash and cash equivalents, restricted cash, and short-term investments. As of December 31, 2025, we had $495.8 million in cash and cash equivalents and restricted cash, with no short-term investments.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and short-term investments, together with cash generated from subscriptions, hardware tracking devices, advertising activities, and partnerships, including the sale of aggregated, non-personally identifiable data for data insight purposes, will be sufficient to support working capital and capital expenditure requirements in line with our capital deployment strategy for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flow activities were as follows for the periods presented:</w:t>
      </w:r>
    </w:p>
    <w:tbl>
      <w:tblPr>
        <w:tblW w:w="8619" w:type="dxa"/>
        <w:jc w:val="left"/>
        <w:tblInd w:w="0" w:type="dxa"/>
        <w:tblLayout w:type="fixed"/>
        <w:tblCellMar>
          <w:top w:w="28" w:type="dxa"/>
          <w:left w:w="28" w:type="dxa"/>
          <w:bottom w:w="28" w:type="dxa"/>
          <w:right w:w="28" w:type="dxa"/>
        </w:tblCellMar>
      </w:tblPr>
      <w:tblGrid>
        <w:gridCol w:w="2128"/>
        <w:gridCol w:w="1874"/>
        <w:gridCol w:w="1878"/>
        <w:gridCol w:w="211"/>
        <w:gridCol w:w="901"/>
        <w:gridCol w:w="109"/>
        <w:gridCol w:w="109"/>
        <w:gridCol w:w="109"/>
        <w:gridCol w:w="109"/>
        <w:gridCol w:w="211"/>
        <w:gridCol w:w="826"/>
        <w:gridCol w:w="154"/>
      </w:tblGrid>
      <w:tr>
        <w:trPr/>
        <w:tc>
          <w:tcPr>
            <w:tcW w:w="212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61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primary sources of operating cash are cash collections from our paying members for subscriptions to our platform, hardware tracking device sales, advertising revenue, and other revenue, which includes partnership revenue and revenue generated from the sale of aggregated, non-personally identifiable data for data insight purposes. Our primary uses of cash from operating activities are for employee-related expenditures, costs to acquire inventory, infrastructure-related costs, commissions paid to Channel Partners, and marketing expenses.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June 30, 2026 and December 31, 2025, we had deferred revenue of $51.5 million and $50.7 million, respectively, of which $48.2 million and $46.4 million is expected to be recorded as revenue in the next 12 months, respectively, provided all other revenue recognition criteria have been met.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was $41.0 million. The primary factors affecting our operating cash flows during this period were our net income of $7.8 million, impacted by $40.5 million of non-cash adjustments, and $7.3 million of cash used by changes in our operating assets and liabilities. The non-cash adjustments primarily consist of stock-based compensation, deferred income taxes, depreciation and amortization, and a loss on the change in fair value of investment. The cash used by changes in our operating assets and liabilities was primarily due to decreases in accrued expenses and other current liabilities and accounts payable, as well as increases in inventory and costs capitalized to obtain contracts. This was partially offset by decreases in accounts receivable and prepaid expenses and other current assets and an increase in deferred revenue.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operating activities was $25.4 million. The primary factors affecting our operating cash flows during this period were our net income of $11.4 million, impacted by $30.4 million of non-cash adjustments, and $16.4 million of cash used by changes in our operating assets and liabilities. The non-cash adjustments primarily consist of stock-based compensation, depreciation and amortization. The cash used by changes in our operating assets and liabilities was primarily due to decreases in accounts payable and accrued expenses and other current liabilities, as well as increases in inventory and prepaid expenses and other assets. These cash outflows were offset by an increase in deferred revenue.</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For the six months ended June 30, 2026, net cash used in investing activities was $256.3 million, which was primarily related to the $214.1 million purchase of short-term investments, $55.6 million cash paid for the acquisition of Nativo, net of cash acquired, and $1.0 million cash paid for other investments, partially offset by $16.9 million proceeds from maturities of short-term investment. Refer to Note 7, "Business Combinations" for additional information on the acquisition of Nativo. Net cash used in investing activities also included capitalization of internally developed software costs in accordance with ASC 350-40,</w:t>
      </w:r>
      <w:r>
        <w:rPr>
          <w:color w:val="000000"/>
        </w:rPr>
        <w:t xml:space="preserve"> </w:t>
      </w:r>
      <w:r>
        <w:rPr>
          <w:rFonts w:ascii="Times New Roman;serif" w:hAnsi="Times New Roman;serif"/>
          <w:b w:val="false"/>
          <w:i/>
          <w:color w:val="000000"/>
          <w:sz w:val="20"/>
        </w:rPr>
        <w:t>Intangibles - Goodwill and Other, Internal-Use Software.</w:t>
      </w:r>
      <w:r>
        <w:rPr>
          <w:color w:val="000000"/>
        </w:rPr>
        <w:t xml:space="preserve">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For the six months ended June 30, 2025, net cash used in investing activities was $32.1 million, which primarily related to the $25.0 million Convertible Note Investment. Net cash used in investing activities also included capitalization of internally developed software costs in accordance with ASC 350-40,</w:t>
      </w:r>
      <w:r>
        <w:rPr>
          <w:color w:val="000000"/>
        </w:rPr>
        <w:t xml:space="preserve"> </w:t>
      </w:r>
      <w:r>
        <w:rPr>
          <w:rFonts w:ascii="Times New Roman;serif" w:hAnsi="Times New Roman;serif"/>
          <w:b w:val="false"/>
          <w:i/>
          <w:color w:val="000000"/>
          <w:sz w:val="20"/>
        </w:rPr>
        <w:t>Intangibles - Goodwill and Other, Internal-Use Software</w:t>
      </w:r>
      <w:r>
        <w:rPr>
          <w:rFonts w:ascii="Times New Roman;serif" w:hAnsi="Times New Roman;serif"/>
          <w:b w:val="false"/>
          <w:color w:val="000000"/>
          <w:sz w:val="20"/>
        </w:rPr>
        <w:t>, and cash paid for an acquisition.</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financing activities was $10.8 million, which is primarily driven by $24.4 million of taxes paid for the net settlement of equity awards, $13.2 million of payments for the purchase of treasury stock, $1.9 million for the remittance of tariff refund claims, and the $0.7 million deferred purchase price payment related to the Fantix acquisition. The cash payments were partially offset by $27.2 million of proceeds related to tax withholdings on restricted stock settlements and the exercise of stock options and warrants and $2.3 million of proceeds from the monetization of tariff refund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provided by financing activities was $280.5 million, which is primarily related to proceeds of $320.0 million from the issuance of the June 2025 Convertible Notes offset by payments of $9.6 million for debt issuance costs. In connection with the issuance of the June 2025 Convertible Notes, the Company paid $33.7 million in capped call transactions. Refer to Note 9, "Convertible Notes" for more information on the June 2025 Convertible Notes and the June 2025 Capped Calls. Financing activities also included $25.8 million of taxes paid for the net settlement of equity awards, offset by $29.6 million of proceeds related to tax withholdings on restricted stock settlements and the exercise of stock options and warrants.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2026, the Company’s Board of Directors authorized a share repurchase program allowing the deployment of up to $225.0 million to repurchase the Company’s outstanding common stock (the “Repurchase Program”). The Repurchase Program has no expiration date, does not obligate the Company to acquire a specific number of shares, and may be modified, suspended, or discontinued at any time. Repurchases may be made from time to time in the open market, in privately negotiated transactions, in block trades, and/or through Rule 10b5-1 trading plans and Rule 10b-18 transactions depending on market conditions and applicable rules and regulations.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repurchased 314,762 shares of common stock for an aggregate purchase price of $13.2 million, including commissions. As of June 30, 2026, $211.8 million 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Obligations and Other 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commitments consist of obligations under our operating leases for office space, and other purchase commitments. Information regarding our non-cancellable lease and other purchase commitments as of June 30, 2026, can be found in Note 8, "Balance Sheet Components" and Note 10,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Management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in accordance with GAAP. The preparation of condensed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Our significant accounting policies are discussed in Note 2, "Summary of Significant Accounting Policies" in our Annual Report. There were no significant changes to these policies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$150.7 million of cash equivalents invested in money market funds and U.S. Treasury securities. In addition, we held $197.9 million of U.S. Treasury securities classified as available-for-sale securities. As of December 31, 2025, we had $332.8 million of cash equivalents invested in money market funds and no U.S. Treasury securities.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are held for working capital purposes. The U.S. Treasury securities have contractual maturities of less than one year. Available-for-sale securities are recorded at fair value, with unrealized gains and losses recorded in accumulated other comprehensive income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 hypothetical 10% relative change in interest rates would not have a material impact on our condensed consolidated financial statements.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Evaluation of 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June 30, 2026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June 30, 2026.</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June 30, 2026 that have materially affected, or are reasonably likely to materially affect, our internal control over financial reporting.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and have been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10, "Commitments and Contingencies" in the notes to the condensed consolidated financial statements under the caption “Litigation and Arbitration”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there have been no material changes from the risk factors set forth under the heading “Risk Factors” in Part I, Item 1A in our Annual Report. An investment in shares of our common stock involves a high degree of risk. You should carefully consider the risks and uncertainties described in our Annual Report, together with all of the other information in the Annual Report, together with the other information appearing elsewhere in this Quarterly Report, including our unaudited condensed consolidated financial statements and related notes hereto, and any other documents that we file with the SEC before deciding to invest in our common stock. The occurrence of any of the following risks or of those described in our Annual Report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in our Annual Report will not occur.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Common Stock and CDIs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market price of our CDIs and common stock has been, and may in the future be, volatile, or may decline regardless of our operating performance and you could lose all or part of your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reaction to our press releases, announcements, and filings with the SEC and ASX;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operating and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market prices and trading volumes of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market valuations of similar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departures of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commencement of or involvement in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economic and political conditions, financial markets, and/or the technology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by our securityholders;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failure of securities analysts to cover our common stock and/or changes in their recommendations and estimates of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sales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price, and volume of repurchases under our share repurchase program, or any determination to suspend, modify, or discontinue the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trading prices and trading volumes of our CDIs on the ASX and our common stock on the Nasdaq;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other factors described in these “Risk Factors”.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 which would harm our business, operating results, or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our share repurchase program, there is no guarantee that the program will be fully consummated or that it will enhance long-term stockholder value, and repurchases under the program could increase the volatility of the trading price of our common stock or CDIs, or negatively impact our cash reserves. Repurchases under the program, and any Company Rule 10b5-1 trading plan, may be modified, suspended, or discontinued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Unregistered Sales of Equity Securities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May 2026, the Company’s Board of Directors authorized a share repurchase program allowing the deployment of up to $225.0 million to repurchase the Company’s outstanding common stock (the “</w:t>
      </w:r>
      <w:r>
        <w:rPr>
          <w:rFonts w:ascii="Times New Roman;serif" w:hAnsi="Times New Roman;serif"/>
          <w:b w:val="false"/>
          <w:i/>
          <w:color w:val="000000"/>
          <w:sz w:val="20"/>
        </w:rPr>
        <w:t>Repurchase Program</w:t>
      </w:r>
      <w:r>
        <w:rPr>
          <w:color w:val="000000"/>
        </w:rPr>
        <w:t>”</w:t>
      </w:r>
      <w:r>
        <w:rPr>
          <w:rFonts w:ascii="Times New Roman;serif" w:hAnsi="Times New Roman;serif"/>
          <w:b w:val="false"/>
          <w:color w:val="000000"/>
          <w:sz w:val="20"/>
        </w:rPr>
        <w:t xml:space="preserve">). The Repurchase Program has no expiration date, does not obligate the Company to acquire a specific number of shares, and may be modified, suspended, or discontinued at any time. Repurchases may be made from time to time in the open market, in privately negotiated transactions, in block trades, and/or through Rule 10b5-1 trading plans and Rule 10b-18 transactions, depending on market conditions and applicable rules and regulations.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share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357"/>
        <w:gridCol w:w="314"/>
        <w:gridCol w:w="319"/>
        <w:gridCol w:w="109"/>
        <w:gridCol w:w="109"/>
        <w:gridCol w:w="109"/>
        <w:gridCol w:w="623"/>
        <w:gridCol w:w="423"/>
        <w:gridCol w:w="425"/>
        <w:gridCol w:w="109"/>
        <w:gridCol w:w="109"/>
        <w:gridCol w:w="109"/>
        <w:gridCol w:w="282"/>
        <w:gridCol w:w="824"/>
        <w:gridCol w:w="145"/>
        <w:gridCol w:w="109"/>
        <w:gridCol w:w="109"/>
        <w:gridCol w:w="109"/>
        <w:gridCol w:w="909"/>
        <w:gridCol w:w="732"/>
        <w:gridCol w:w="734"/>
        <w:gridCol w:w="109"/>
        <w:gridCol w:w="109"/>
        <w:gridCol w:w="109"/>
        <w:gridCol w:w="497"/>
        <w:gridCol w:w="1946"/>
        <w:gridCol w:w="367"/>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dollar value of shares that may yet be purchased under the plans or programs (In thousands)</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188,424 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217,571 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126,338 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211,781 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314,762 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314,762 </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(a) Amended and Restated Bylaws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2026, the Board amended and restated the Company’s Amended and Restated Bylaws (as so amended and restated, the “Amended and Restated Bylaws”), which becomes effective as of August 7, 2026. The Amended and Restated Bylaws, among other things, establish the position of Lead Independent Director and the process for the Lead Independent Director’s selection.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Amended and Restated Bylaws does not purport to be complete and is qualified in its entirety by reference to the full text of the Company’s Amended and Restated Bylaws, as amended, a copy of which is filed as Exhibit 3.2 to this Quarterly Report on Form 10-Q and is incorporated herein by reference.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(b) None</w:t>
      </w:r>
    </w:p>
    <w:p>
      <w:pPr>
        <w:pStyle w:val="TextBody"/>
        <w:bidi w:val="0"/>
        <w:spacing w:lineRule="auto" w:line="288" w:before="240" w:after="283"/>
        <w:ind w:left="0" w:right="0" w:firstLine="450"/>
        <w:jc w:val="both"/>
        <w:rPr>
          <w:rFonts w:ascii="Times New Roman;serif" w:hAnsi="Times New Roman;serif"/>
          <w:b/>
          <w:color w:val="000000"/>
          <w:sz w:val="20"/>
        </w:rPr>
      </w:pPr>
      <w:r>
        <w:rPr>
          <w:rFonts w:ascii="Times New Roman;serif" w:hAnsi="Times New Roman;serif"/>
          <w:b/>
          <w:color w:val="000000"/>
          <w:sz w:val="20"/>
        </w:rPr>
        <w:t>(c) Rule 10b5-1 Trading Plans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directors and officers, subject to Rule 16a-1(f) of the Exchange Act (“</w:t>
      </w:r>
      <w:r>
        <w:rPr>
          <w:rFonts w:ascii="Times New Roman;serif" w:hAnsi="Times New Roman;serif"/>
          <w:b w:val="false"/>
          <w:i/>
          <w:color w:val="000000"/>
          <w:sz w:val="20"/>
        </w:rPr>
        <w:t>Section 16 Officers</w:t>
      </w:r>
      <w:r>
        <w:rPr>
          <w:color w:val="000000"/>
        </w:rPr>
        <w:t>”</w:t>
      </w:r>
      <w:r>
        <w:rPr>
          <w:rFonts w:ascii="Times New Roman;serif" w:hAnsi="Times New Roman;serif"/>
          <w:b w:val="false"/>
          <w:color w:val="000000"/>
          <w:sz w:val="20"/>
        </w:rPr>
        <w:t xml:space="preserve">), may from time to time enter into plans for the purchase or sale of our common stock that are intended to satisfy the affirmative defense in Rule 10b5-1(c) of the Exchange Act.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Section 16 Officer adopted a “Rule 10b5-1 trading arrangement” as defined in Item 408 of Regulation S-K of the Exchange Act:</w:t>
      </w:r>
    </w:p>
    <w:tbl>
      <w:tblPr>
        <w:tblW w:w="9701" w:type="dxa"/>
        <w:jc w:val="left"/>
        <w:tblInd w:w="0" w:type="dxa"/>
        <w:tblLayout w:type="fixed"/>
        <w:tblCellMar>
          <w:top w:w="28" w:type="dxa"/>
          <w:left w:w="28" w:type="dxa"/>
          <w:bottom w:w="28" w:type="dxa"/>
          <w:right w:w="28" w:type="dxa"/>
        </w:tblCellMar>
      </w:tblPr>
      <w:tblGrid>
        <w:gridCol w:w="342"/>
        <w:gridCol w:w="300"/>
        <w:gridCol w:w="302"/>
        <w:gridCol w:w="109"/>
        <w:gridCol w:w="109"/>
        <w:gridCol w:w="109"/>
        <w:gridCol w:w="254"/>
        <w:gridCol w:w="254"/>
        <w:gridCol w:w="258"/>
        <w:gridCol w:w="109"/>
        <w:gridCol w:w="109"/>
        <w:gridCol w:w="109"/>
        <w:gridCol w:w="269"/>
        <w:gridCol w:w="269"/>
        <w:gridCol w:w="273"/>
        <w:gridCol w:w="109"/>
        <w:gridCol w:w="109"/>
        <w:gridCol w:w="109"/>
        <w:gridCol w:w="389"/>
        <w:gridCol w:w="389"/>
        <w:gridCol w:w="391"/>
        <w:gridCol w:w="109"/>
        <w:gridCol w:w="109"/>
        <w:gridCol w:w="109"/>
        <w:gridCol w:w="424"/>
        <w:gridCol w:w="424"/>
        <w:gridCol w:w="426"/>
        <w:gridCol w:w="109"/>
        <w:gridCol w:w="109"/>
        <w:gridCol w:w="109"/>
        <w:gridCol w:w="909"/>
        <w:gridCol w:w="909"/>
        <w:gridCol w:w="912"/>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 Haro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100,000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1409"/>
        <w:gridCol w:w="1286"/>
        <w:gridCol w:w="1299"/>
        <w:gridCol w:w="109"/>
        <w:gridCol w:w="109"/>
        <w:gridCol w:w="109"/>
        <w:gridCol w:w="293"/>
        <w:gridCol w:w="293"/>
        <w:gridCol w:w="294"/>
        <w:gridCol w:w="109"/>
        <w:gridCol w:w="109"/>
        <w:gridCol w:w="109"/>
        <w:gridCol w:w="170"/>
        <w:gridCol w:w="170"/>
        <w:gridCol w:w="171"/>
        <w:gridCol w:w="109"/>
        <w:gridCol w:w="109"/>
        <w:gridCol w:w="109"/>
        <w:gridCol w:w="251"/>
        <w:gridCol w:w="251"/>
        <w:gridCol w:w="221"/>
        <w:gridCol w:w="109"/>
        <w:gridCol w:w="109"/>
        <w:gridCol w:w="109"/>
        <w:gridCol w:w="226"/>
        <w:gridCol w:w="226"/>
        <w:gridCol w:w="227"/>
        <w:gridCol w:w="109"/>
        <w:gridCol w:w="109"/>
        <w:gridCol w:w="109"/>
        <w:gridCol w:w="219"/>
        <w:gridCol w:w="219"/>
        <w:gridCol w:w="32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life360amendedan.htm">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226xceo.htm">
              <w:r>
                <w:rPr>
                  <w:rStyle w:val="InternetLink"/>
                  <w:rFonts w:ascii="Times New Roman;serif" w:hAnsi="Times New Roman;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226xcfo.htm">
              <w:r>
                <w:rPr>
                  <w:rStyle w:val="InternetLink"/>
                  <w:rFonts w:ascii="Times New Roman;serif" w:hAnsi="Times New Roman;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life360q226xceo.htm">
              <w:r>
                <w:rPr>
                  <w:rStyle w:val="InternetLink"/>
                  <w:rFonts w:ascii="Times New Roman;serif" w:hAnsi="Times New Roman;serif"/>
                  <w:b w:val="false"/>
                  <w:color w:val="0000FF"/>
                  <w:sz w:val="20"/>
                  <w:u w:val="single"/>
                </w:rPr>
                <w:t>Chief Executive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226xcfo.htm">
              <w:r>
                <w:rPr>
                  <w:rStyle w:val="InternetLink"/>
                  <w:rFonts w:ascii="Times New Roman;serif" w:hAnsi="Times New Roman;serif"/>
                  <w:b w:val="false"/>
                  <w:color w:val="0000FF"/>
                  <w:sz w:val="20"/>
                  <w:u w:val="single"/>
                </w:rPr>
                <w:t>Chief Financial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p>
      <w:pPr>
        <w:pStyle w:val="TextBody"/>
        <w:bidi w:val="0"/>
        <w:spacing w:before="120" w:after="283"/>
        <w:ind w:left="0" w:right="0" w:hanging="720"/>
        <w:jc w:val="both"/>
        <w:rPr/>
      </w:pPr>
      <w:r>
        <w:rPr/>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87c6f1cf30134dfea763b22742beb7f3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664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1126"/>
        <w:gridCol w:w="1126"/>
        <w:gridCol w:w="161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BYLAWS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LIFE360, INC.</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Approved July 29,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Effective August 7, 2026</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27"/>
        <w:gridCol w:w="227"/>
        <w:gridCol w:w="227"/>
        <w:gridCol w:w="304"/>
        <w:gridCol w:w="290"/>
        <w:gridCol w:w="283"/>
        <w:gridCol w:w="227"/>
        <w:gridCol w:w="227"/>
        <w:gridCol w:w="227"/>
        <w:gridCol w:w="2271"/>
        <w:gridCol w:w="2148"/>
        <w:gridCol w:w="2155"/>
        <w:gridCol w:w="109"/>
        <w:gridCol w:w="109"/>
        <w:gridCol w:w="109"/>
        <w:gridCol w:w="115"/>
        <w:gridCol w:w="115"/>
        <w:gridCol w:w="116"/>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Other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II MEETINGS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Place Of Meetings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Special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Notice Of Stockholders' Meetings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Manner Of Giving Notice; Affidavit Of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2.7</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Adjourned Meeting;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Organization; Conduct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2.9</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Waiver Of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Record Date For Stockholder Notice;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Proxies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III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Number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Election, Qualification And Term Of Office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Resignation And Vacancies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Place Of Meetings; Meetings By Telephone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Regular Meetings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3.7</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Special Meetings;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3.8</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3.9</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Waiver Of Notice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Board Action By Written Consent Without A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Fees And Compensation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Removal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Chairperson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Lead Independent Director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IV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4.1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Committees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4.2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Committee Minutes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4.3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Meetings And Action Of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V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Appointment Of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Subordinate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Removal And Resignation Of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Vacancies In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5.7</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5.8</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Vice Presidents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5.9</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5.11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5.12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Representation Of Securities Of Other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5.13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Authority And Duties Of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VI INDEMNIFICATION OF DIRECTORS, OFFICERS, EMPLOYEES, AND OTHER AGENTS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Indemnification Of Directors And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Indemnification Of 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Payment Of Expenses In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Enforcement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Nature of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Subrogation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6.7</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6.8</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Conflicts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VII RECORDS AND REPORTS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7.1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Maintenance And Inspection Of Records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7.2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Inspection By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VIII GENERAL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Checks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Execution Of Corporate Contracts And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Stock Certificates; Partly Paid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Special Designation On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Lost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Construction; 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8.7</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8.8</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8.9</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Transfer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Stock Transfer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8.13</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Facsimile 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8.14</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IX AMENDMENTS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Article X ASX LISTING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520" w:before="75" w:after="283"/>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520" w:before="75" w:after="283"/>
        <w:jc w:val="center"/>
        <w:rPr>
          <w:rFonts w:ascii="Times New Roman;serif" w:hAnsi="Times New Roman;serif"/>
          <w:b/>
          <w:color w:val="000000"/>
          <w:sz w:val="24"/>
        </w:rPr>
      </w:pPr>
      <w:r>
        <w:rPr>
          <w:rFonts w:ascii="Times New Roman;serif" w:hAnsi="Times New Roman;serif"/>
          <w:b/>
          <w:color w:val="000000"/>
          <w:sz w:val="24"/>
        </w:rPr>
        <w:t>BYLAWS OF</w:t>
      </w:r>
    </w:p>
    <w:p>
      <w:pPr>
        <w:pStyle w:val="TextBody"/>
        <w:bidi w:val="0"/>
        <w:spacing w:lineRule="atLeast" w:line="276" w:before="0" w:after="0"/>
        <w:jc w:val="center"/>
        <w:rPr/>
      </w:pPr>
      <w:r>
        <w:rPr>
          <w:rFonts w:ascii="Times New Roman;serif" w:hAnsi="Times New Roman;serif"/>
          <w:b/>
          <w:color w:val="000000"/>
          <w:sz w:val="24"/>
        </w:rPr>
        <w:t>LIFE360,</w:t>
      </w:r>
      <w:r>
        <w:rPr>
          <w:color w:val="000000"/>
        </w:rPr>
        <w:t xml:space="preserve"> </w:t>
      </w:r>
      <w:r>
        <w:rPr>
          <w:rFonts w:ascii="Times New Roman;serif" w:hAnsi="Times New Roman;serif"/>
          <w:b/>
          <w:color w:val="000000"/>
          <w:sz w:val="24"/>
        </w:rPr>
        <w:t>INC.</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br/>
        <w:t>CORPORATE</w:t>
      </w:r>
      <w:r>
        <w:rPr>
          <w:color w:val="000000"/>
          <w:u w:val="single"/>
        </w:rPr>
        <w:t xml:space="preserve"> </w:t>
      </w:r>
      <w:r>
        <w:rPr>
          <w:rFonts w:ascii="Times New Roman;serif" w:hAnsi="Times New Roman;serif"/>
          <w:b/>
          <w:color w:val="000000"/>
          <w:sz w:val="24"/>
          <w:u w:val="single"/>
        </w:rPr>
        <w:t>OFFICES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u w:val="single"/>
        </w:rPr>
        <w:t>Registered</w:t>
      </w:r>
      <w:r>
        <w:rPr>
          <w:color w:val="000000"/>
          <w:u w:val="single"/>
        </w:rPr>
        <w:t xml:space="preserve"> </w:t>
      </w:r>
      <w:r>
        <w:rPr>
          <w:rFonts w:ascii="Times New Roman;serif" w:hAnsi="Times New Roman;serif"/>
          <w:b/>
          <w:color w:val="000000"/>
          <w:sz w:val="24"/>
          <w:u w:val="single"/>
        </w:rPr>
        <w:t>Office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registered office of the corporation in the State of Delaware and 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 at such location</w:t>
      </w:r>
      <w:r>
        <w:rPr>
          <w:color w:val="000000"/>
        </w:rPr>
        <w:t xml:space="preserve"> </w:t>
      </w:r>
      <w:r>
        <w:rPr>
          <w:rFonts w:ascii="Times New Roman;serif" w:hAnsi="Times New Roman;serif"/>
          <w:b w:val="false"/>
          <w:color w:val="000000"/>
          <w:sz w:val="24"/>
        </w:rPr>
        <w:t>shall be as set forth in the corporation’s certificate of incorporation (as the same may be amended and/or restated from time to time, the “certificate of incorporation”).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u w:val="single"/>
        </w:rPr>
        <w:t>Other</w:t>
      </w:r>
      <w:r>
        <w:rPr>
          <w:color w:val="000000"/>
          <w:u w:val="single"/>
        </w:rPr>
        <w:t xml:space="preserve"> </w:t>
      </w:r>
      <w:r>
        <w:rPr>
          <w:rFonts w:ascii="Times New Roman;serif" w:hAnsi="Times New Roman;serif"/>
          <w:b/>
          <w:color w:val="000000"/>
          <w:sz w:val="24"/>
          <w:u w:val="single"/>
        </w:rPr>
        <w:t>Offices.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 may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establish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offices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or places where the corporation is qualified to do business.</w:t>
      </w:r>
    </w:p>
    <w:p>
      <w:pPr>
        <w:pStyle w:val="TextBody"/>
        <w:bidi w:val="0"/>
        <w:spacing w:lineRule="auto" w:line="288"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MEETINGS</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color w:val="000000"/>
          <w:sz w:val="24"/>
          <w:u w:val="single"/>
        </w:rPr>
        <w:t>Place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Meetings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Meetings of stockholders shall be held at any place, within or outside the State of Delaware, designated by the Board of Directors (or its designee). The Board of Directors may, in its sole discretion, determine that the meeting shall not be held at any place, but may instead be held solely by means of remote communication as provided under the General Corporation Law of the State of Delaware (as the same exists or may hereafter be amended, the “DGCL”). In the absence of any such designation, stockholders’ meetings shall be held at the registered office of the corporation.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color w:val="000000"/>
          <w:sz w:val="24"/>
          <w:u w:val="single"/>
        </w:rPr>
        <w:t>Annual</w:t>
      </w:r>
      <w:r>
        <w:rPr>
          <w:color w:val="000000"/>
          <w:u w:val="single"/>
        </w:rPr>
        <w:t xml:space="preserve"> </w:t>
      </w:r>
      <w:r>
        <w:rPr>
          <w:rFonts w:ascii="Times New Roman;serif" w:hAnsi="Times New Roman;serif"/>
          <w:b/>
          <w:color w:val="000000"/>
          <w:sz w:val="24"/>
          <w:u w:val="single"/>
        </w:rPr>
        <w:t>Meeting</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annual meeting of the stockholders shall be held on such date and time as may be designated by the Board of Directors (or its designee). The corporation may postpone, reschedule or cancel any annual meeting of the stockholders previously scheduled by the Board of Directors. Nominations of persons for election to the Board of Directors and proposals of other business to be considered by the stockholders may be made at an annual meeting of the stockholders: (i) pursuant to the corporation’s notice of meeting of the stockholders (or any supplement thereto); (ii) by or at the direction of the Board of Directors or a duly authorized committee thereof; or (iii) by any stockholder of the corporation who was a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stockholder of record at the time of giving the stockholder’s notice required for in Section 2.2(a) of these bylaws (as the same may be amended and/or restated from time to time, these “Bylaws”) below and who is a stockholder of record at the time of the annual meeting of the stockholders, who is entitled to vote at the meeting and who complied with the requirements set forth in this Section 2.2. For the avoidance of doubt, clause (iii) above shall be the exclusive means for a stockholder to make nominations and submit other business (other than matters properly included in the corporation’s notice of meeting of the stockholders and proxy statement under Rule 14a-8 under the Securities Exchange Act of 1934, as amended, and the rules and regulations thereunder (the “1934 Act”)) before an annual meeting of the stockholders.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At an annual meeting of the stockholders, only such business shall be conducted as is a proper matter for stockholder action under the DGCL, the certificate of incorporation and these Bylaws, and only such nominations shall be made and such business shall be conducted as shall have been properly brought before the meeting in accordance with this Section 2.2.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    For nominations for the election to the Board of Directors to be properly brought before an annual meeting of the stockholders by a stockholder pursuant to clause (iii) of Section 2.2(a), the stockholder must deliver written notice to the secretary of the corporation (“secretary”) at the principal executive offices of the corporation on a timely basis as set forth in Section 2.2(b)(3) and must update and supplement the information contained in such written notice (other than the representation required by Section 2.2(b)(4)(E)) on a timely basis as set forth in Section 2.2(c).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list of any pledge of or encumbrances on such shares, (4) the date or dates on which such shares were acquired and the investment intent of such acquisition, (5) the questionnaire, representation and agreement required by Section 2.2(e), completed and signed by such nominee, and (6) all other information concerning such nominee as would be required to be disclosed or provided to the corporation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and the rules and regulations promulgated thereunder (including such person’s written consent to being named in a proxy statement and associated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proxy card as a nominee and to serving as a director if elected); and (B) all of the information required by Section 2.2(b)(4). The corporation may require any proposed nominee to furnish such other information as it may reasonably require to determine the eligibility of such proposed nominee to serve as an independent director of the corporation or to serve on any committee or sub-committee of the Board of Directors, in either case, under any applicable stock exchange listing requirements, applicable law or the Policies (as defined below). The number of nominees a stockholder may nominate for election at the annual meeting of the stockholders (or in the case of a stockholder giving the notice on behalf of a beneficial owner, the number of nominees a stockholder may nominate for election at the annual meeting of the stockholders on behalf of such beneficial owner) shall not exceed the number of directors to be elected at such annual meeting. A stockholder may not designate any substitute nominees unless the stockholder provides timely notice of such substitute nominee(s) in accordance with this Section 2.2, in the case of an annual meeting, or Section 2.3, in the case of a special meeting (and such notice contains all of the information, representations, questionnaires and certifications with respect to such substitute nominee(s) that are required by these Bylaws with respect to nominees for director).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    Other than proposals sought to be included in the corporation’s proxy materials pursuant to Rule 14a-8 under the 1934 Act, for business other than nominations for the election to the Board of Directors to be properly brought before an annual meeting of the stockholders by a stockholder pursuant to clause (iii) of Section 2.2(a), the stockholder must deliver written notice to the secretary at the principal executive offices of the corporation on a timely basis as set forth in Section 2.2(b)(3), and must update and supplement such written notice on a timely basis as set forth in Section 2.2(c). Such stockholder’s notice shall set forth: (A) as to each matter such stockholder proposes to bring before the meeting: (1) a brief description of the business desired to be brought before the meeting, (2) the text of the proposal or business (including the text of any resolutions proposed for consideration and in the event that such business includes a proposal to amend these Bylaws, the language of the proposed amendment), (3) the reasons for conducting such business at the meeting, and (4) any material interest (including any anticipated benefit of such business to any Proponent (as defined below) other than solely as a result of its ownership of the corporation’s capital stock, that is material to any Proponent individually, or to the Proponents in the aggregate) in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such business of any Proponent; and (B) all of the information required by Section 2.2(b)(4).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(3)    To be timely, the written notice required by Section 2.2(b)(1) or 2.2(b)(2) must be received by the secretary at the principal executive offices of the corporation not later than the close of business on the 90th day, nor earlier than the 120th day, prior to the first anniversary of the immediately preceding year’s annual meeting of the stockholders; provided, however, that, subject to the last sentence of this Section 2.2(b)(3), in the event that (A) the date of the annual meeting of the stockholders is advanced more than thirty (30) days prior to or delayed by more than thirty (30) days after the first anniversary of the preceding year’s annual meeting of the stockholders, notice by the stockholder to be timely must be so received not earlier than the 120th day prior to such annual meeting and not later than the close of business on the later of the 90th day prior to such annual meeting or the tenth day following the day on which public announcement of the date of such meeting is first made by the corporation or (B) the corporation did not have an annual meeting of the stockholders in the preceding year, notice by the stockholder to be timely must be so received not later than the tenth day following the day on which public announcement of the date of such meeting is first made. In no event shall an adjournment or postponement (or the public announcement thereof) of an annual meeting of the stockholders for which notice has been given commence a new time period (or extend any time period) for the giving of a stockholder’s notice as described above.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(4)    The written notice required by Sections 2.2(b)(1) or 2.2(b)(2) shall also set forth, as of the date of the notice and as to the stockholder giving the notice,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2.2(b)(4), such Proponent shall in all events be deemed to beneficially own all shares of any class or series of capital stock of the corporation as to which such Proponent has a right to acquire beneficial ownership at any time in the future); (C) a description of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agreement, arrangement or understanding (whether oral or in writing) with respect to such nomination or proposal (and/or the voting of shares of any class or series of capital stock of the corporation, other than a revocable proxy given in response to a proxy solicitation made to ten (10) or more persons) between or among any Proponent and any other person or persons (including their names) including, in the case of a nomination, any agreement, arrangement or understanding (whether oral or in writing) relating to any compensation or payments to be paid to any such proposed nominees(s); (D) a representation that the stockholder is a holder of record of shares of the corporation at the time of giving notice and will be entitled to vote at the meeting, and that such stockholder (or a qualified representative of the stockholder (meeting the requirements specified in Section 2.2(f)) intends to appear at the meeting to nominate the person or persons specified in the notice (with respect to a notice under Section 2.2(b)(1)) or to propose the business that is specified in the notice (with respect to a notice under Section 2.2(b)(2)); (E) a representation as to whether any Proponent intends or is part of a group which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(F) to the extent known by any Proponent, the name and address of any other stockholder providing financial support or meaningful assistance in support of a nomination or proposal; (G) 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 (H) a certification that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(I) any other information relating to the Proponents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A stockholder providing the written notice required by Section 2.2(b)(1) or Section 2.2(b)(2)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(5) Business Days (as defined below) prior to the meeting and, in the event of any adjournment or postponement thereof, five (5) Business Days prior to such adjourned or postponed meeting; </w:t>
      </w:r>
      <w:r>
        <w:rPr>
          <w:rFonts w:ascii="Times New Roman;serif" w:hAnsi="Times New Roman;serif"/>
          <w:b w:val="false"/>
          <w:i/>
          <w:color w:val="000000"/>
          <w:sz w:val="24"/>
        </w:rPr>
        <w:t>provided</w:t>
      </w:r>
      <w:r>
        <w:rPr>
          <w:rFonts w:ascii="Times New Roman;serif" w:hAnsi="Times New Roman;serif"/>
          <w:b w:val="false"/>
          <w:color w:val="000000"/>
          <w:sz w:val="24"/>
        </w:rPr>
        <w:t>, that no such update or supplement shall cure or affect the accuracy (or inaccuracy) of any representations made by any Proponent or a nominee or the validity (or invalidity) of any nomination or proposal that failed to comply with this Section 2.2 or is rendered invalid as a result of any inaccuracy therein. In the case of an update and supplement pursuant to clause (i) of this Section 2.2(c), such update and supplement shall be received by the secretary at the principal executive offices of the corporation not later than five (5) Business Days after the later of the record date for the determination of stockholders entitled to notice of the meeting or the public announcement of such record date. In the case of an update and supplement pursuant to clause (ii) of this Section 2.2(c),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(or, if there are fewer than two (2) Business Days between the date for the meeting, or the date of the immediately preceding adjournment or postponement thereof, and the date for the adjourned or postponed meeting, not later than the day prior to such adjourned or postponed meeting).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    Notwithstanding anything in Section 2.2(b)(3) to the contrary, in the event that the number of directors in an Expiring Class (as defined below) to be elected to the Board of Directors at the next annual meeting of the stockholders is increased and there is no public announcement by the corporation naming all of the nominees for the Expiring Class or specifying the size of the increased Expiring Class at least ten (10) days before the last day a stockholder may deliver a notice of nomination in accordance with Section 2.2(b)(3), a stockholder’s notice required by this Section 2.2 and that complies with the requirements in Section 2.2(b)(1), other than the timing requirements in Section 2.2(b)(3),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day following the day on which such public announcement is first made by the corporation. For purposes of this section, an “Expiring Class” shall mean a class of directors whose term shall expire at the next annual meeting of the stockholders.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    To be eligible to be a nominee for election or re-election as a director of the corporation pursuant to a nomination under clause (iii) of Section 2.2(a), each Proponent must deliver (in accordance with the time periods prescribed for delivery of notice under Section 2.2(b)(3), 2.2(d) or 2.2(d),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(which questionnaire shall be provided by the secretary within five (5) Business Days following a written request therefor by a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stockholder of record) and a written representation and agreement (in the form provided by the secretary within five (5) Business Days following a written request therefor by a stockholder of record)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(iii) would be in compliance, if elected as a director of the corporation, and will comply with, all applicable publicly disclosed corporate governance, conflict of interest, confidentiality and stock ownership and trading policies and guidelines of the corporation (the “Policies”) and (iv) if elected as director of the corporation, intends to serve the entire term until the next meeting at which such candidate would face re-election.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    A person shall not be eligible for election or re-election as a director at an annual meeting of the stockholders, unless the person is nominated in accordance with Section 2.2(a) and in accordance with the procedures set forth in Section 2.2(a), Section 2.2(c), Section 2.2(d), and Section 2.2(e), as applicable. Only such business shall be conducted at any annual meeting of the stockholders of the corporation as shall have been brought before the meeting in accordance with Section 2.2(a) and in accordance with the procedures set forth in Section 2.2(a) and Section 2.2(c), as applicable. Notwithstanding anything to the contrary in these Bylaws, unless otherwise required by applicable law, if any Proponent (i) provides notice pursuant to Rule 14a-19(b) promulgated under the 1934 Act with respect to any proposed nominee and (ii) subsequently (x) fails to comply with the requirements of Rule 14a-19 promulgated under the 1934 Act (or fails to timely provide reasonable evidence sufficient to demonstrate to the corporation that such Proponent has met the requirements of Rule 14a-19(a)(3) promulgated under the 1934 Act in accordance with the following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annual or special meeting of the stockholders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(5)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nominee in the corporation’s proxy statement, notice of meeting or other proxy materials for any annual or special meeting of the stockholders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2.2(a) or otherwise) to have been made pursuant to the corporation’s notice of meeting (or any supplement thereto) and any such nominee may only be nominated by a stockholder of the corporation pursuant to clause (iii) of Section 2.2(a) or, in the case of a special meeting of the stockholders pursuant to and to the extent permitted under Section 2.3. Except as otherwise required by applicable law, the Board of Directors or the chairperson of the meeting shall have the power to determine whether a nomination or any business proposed to be brought before the meeting was made, or proposed, as the case may be, in accordance with the procedures and requirements set forth in these Bylaws (including, without limitation, compliance with Rule 14a-19 promulgated under the 1934 Act) and, if any proposed nomination or business is not in compliance with these Bylaws, or the Proponent does not act in accordance with the representations required in this Section 2.2,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 Notwithstanding the foregoing provisions of this Section 2.2, unless otherwise required by applicable law, if the stockholder (or a qualified representative of the stockholder) does not appear at the annual meeting of the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2.2, to be considered a qualified representative of the stockholder, a person must be a duly authorized officer, manager, trustee or partner of such stockholder or must be authorized by a writing executed by such stockholder or an electronic transmission delivered by such stockholder to act for such stockholder as proxy at the annual meeting of the stockholders, and such writing or electronic transmission, or a reliable reproduction of the writing or electronic transmission, shall be provided to the secretary at least five (5) Business Days prior to the meeting of stockholders.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(g)    Notwithstanding the foregoing provisions of this Section 2.2, a stockholder must also comply with all applicable requirements of the 1934 Act and the rules and regulations thereunder with respect to the matters set forth in this Section 2.2, and any failure to comply with such requirements shall be deemed a failure to comply with this Section 2.2. Nothing in these Bylaws shall be deemed to affect any rights of stockholders to request inclusion of proposals in the corporation’s proxy statement pursuant to Rule 14a-8 under the 1934 Act;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any references in these Bylaws to the 1934 Act or the rules and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regulations thereunder are not intended to and shall not limit the requirements applicable to proposals and/or nominations to be considered pursuant to Section 2.2(a)(iii).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For purposes of Sections 2.2 and 2.3,</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(1)    “affiliate” shall have the meanings set forth in Rule 405 under the Securities Act of 1933, as amended (the “1933 Act”);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(2)    “Business Day” means any day other than Saturday, Sunday or a day on which banks are closed in New York City, New York;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    “close of business” means 6:00 p.m. local time at the principal executive offices of the corporation on any calendar day, whether or not the day is a Business Day;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“Derivative Transaction” means any agreement, arrangement, interest or understanding entered into by, or on behalf or for the benefit of, any Proponent, whether record or beneficial:</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the value of which is derived in whole or in part from the value of any class or series of shares or other securities of the corporation;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that otherwise provides any direct or indirect opportunity to gain or share in any gain derived from a change in the value of securities of the corporation;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(C)    the effect or intent of which is to mitigate loss, manage risk or benefit from changes in value or price with respect to any securities of the corporation; or </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    that provides the right to vote (other than a revocable proxy given in response to a proxy solicitation made to ten (10) or more persons) or increase or decrease the voting power of, such Proponent, directly or indirectly, with respect to any securities of the corporation,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which agreement, arrangement, interest or understanding may include, without limitation, any option, warrant, debt position, note, bond, convertible security, swap, stock appreciation or similar right, short position, profit interest, hedge, right to dividends, voting agreement or arrangement to borrow or lend shares (whether or not subject to payment, settlement, exercise or conversion in any such class or series), and any proportionate interest of such Proponent in the securities of the corporation held by any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general or limited partnership, or any limited liability company, of which such Proponent is, directly or indirectly, a general partner or managing member; and</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(5)    “public announcement” shall mean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color w:val="000000"/>
          <w:sz w:val="24"/>
          <w:u w:val="single"/>
        </w:rPr>
        <w:t>Special</w:t>
      </w:r>
      <w:r>
        <w:rPr>
          <w:color w:val="000000"/>
          <w:u w:val="single"/>
        </w:rPr>
        <w:t xml:space="preserve"> </w:t>
      </w:r>
      <w:r>
        <w:rPr>
          <w:rFonts w:ascii="Times New Roman;serif" w:hAnsi="Times New Roman;serif"/>
          <w:b/>
          <w:color w:val="000000"/>
          <w:sz w:val="24"/>
          <w:u w:val="single"/>
        </w:rPr>
        <w:t>Meeting</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Except as otherwise provided by law, a special meeting of the stockholders may be called at any time by (i)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(ii) the chairperson of the Board of Directors, (iii) the chief executive officer, or (iv) the president, and shall be called by the secretary following receipt thereby of signed written requests to call a special meeting (each a “special meeting request”) from the holders of at least 10% of the outstanding shares of stock of the corporation (the “requisite percent”). Except as otherwise required by law special meetings of stockholders of the corporation may not be called by any other person or persons. The Board of Directors (or its designee) shall determine the time and place, if any, of such special meeting. Upon determination of the time and place, if any, of the meeting, the secretary shall cause a notice of meeting to be given to the stockholders entitled to vote, in accordance with the provisions of Section 2.4. No business may be transacted at such special meeting other than as specified in the notice of meeting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 stockholder may not submit a special meeting request unless such stockholder is a stockholder of record on the record date fixed to determine the stockholders entitled to request the call of a special meeting (an “ownership record date”). Any stockholder seeking to call a special meeting to transact business shall, by written notice to the secretary, request that the Board of Directors fix an ownership record date. A written request to fix an ownership record date shall include all of the information that must be included in a written request to call a special meeting from a stockholder who is not a solicited stockholder, as set forth in Section 2.3(c), and, within ten (10) days of the secretary’s receipt of such request, the Board of Directors may fix an ownership record date, which date shall not precede, and shall not be more than ten (10) days after, the date upon which the resolution fixing such ownership record date is adopted. If an ownership record date is not so fixed by the Board of Directors, the ownership record date shall be the date thereafter that the first written request to call a special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meeting containing all the information required by or pursuant to Section 2.3(c) is received by the secretary with respect to the proposed business to be conducted at a special meeting.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beneficial owner who wishes to deliver a special meeting request must cause the nominee or other person who serves as the record stockholder of the shares of stock beneficially owned by such beneficial owner to sign and deliver the special meeting request; provided that, if such record stockholder is the nominee for more than one beneficial owner of stock, such record stockholder may deliver a special meeting request solely with respect to the shares of stock beneficially owned by the beneficial owner who is directing such record stockholder to sign such special meeting request.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Each special meeting request shall include the following: (i) the signature of the stockholder of record signing such request and the date such request was signed, (ii) a brief description of the business desired to be brought before the meeting (including any nominees for election or reelection as directors, if applicable) and the reasons for conducting such business at the meeting, and (iii) for each written request submitted by a stockholder other than a solicited stockholder, as to the stockholder signing such request, the other persons (if any) on whose behalf such request is submitted and any affiliate that controls either of the foregoing, directly or indirectly (each, a “party”): (A) the name and address of such party; (B) all of the information required to be disclosed pursuant to Sections 2.2(b)(1), 2.2(b)(2) and 2.2(b)(4) of these Bylaws, as applicable, as though such nominations or proposals were made with respect to an annual meeting of stockholders (which information shall be updated by such party as would be required by Section 2.2(c)); (C) if the stockholder of record submitting such special meeting request is acting solely as a nominee for a beneficial owner, documentary evidence that such beneficial owner is the beneficial owner of the shares for which such special meeting request is submitted; and (D) a statement (1) whether any such party will deliver a proxy statement and form of proxy to holders of, in the case of business other than nominations, at least the percentage of voting power of all of the shares of stock of the corporation required under applicable law to approve such business or (2), in the case of a nomination or nominations, confirming that any such party will solicit proxies in accordance with Rule 14a-19 promulgated under the 1934 Act, and/or (3) whether any such party will otherwise solicit proxies in respect of such nomination(s) (a “special meeting solicitation statement”). For purposes of this Section, “solicited stockholder” means any stockholder that has provided a request in response to a solicitation made pursuant to, and in accordance with, Section 14(a) of the 1934 Act by way of a solicitation statement filed on Schedule 14A.</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    A stockholder may revoke a special meeting request by written revocation delivered to the secretary of the corporation at any time prior to the special meeting; provided, however, that if any such revocation(s) are received by the secretary after the secretary’s receipt of special meeting requests from the requisite percent, and as a result of such revocation(s), there no longer are unrevoked requests from the holders of the requisite percent, the Board of Directors shall have the discretion to determine whether or not to proceed with the special meeting, including whether to cancel the meeting. A proposal or nomination shall not be presented for stockholder action at any special meeting if (x) any party who has provided a special meeting solicitation statement does not act in accordance with the representations set for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therein; or (y) the proposal or nomination appeared in a special meeting request submitted by a stockholder who did not provide the information required by the preceding clause (d)(iii)(B) of this Section 2.3. If none of the stockholders who submitted a request to call a special meeting (or a qualified representative thereof (meeting the requirements specified in Section 2.2(f))) appears at the special meeting to present the business or nomination(s) to be brought before such meeting that were specified in the special meeting request, the corporation need not present the business or nomination(s) for a vote at the meeting, notwithstanding that proxies in respect of such vote may have been received by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    A special meeting request shall not be valid, and the corporation shall not call a special meeting if (i) the special meeting request relates to an item of business that is not a proper subject for stockholder action under, or that involves a violation of, applicable law or (ii) the special meeting request does not comply with the requirements of this Section 2.3.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(g)    The Board of Directors shall determine the place, if any, and fix the date and time, of any stockholder-requested special meeting, and the date of such special meeting shall be not less than thirty-five (35) nor more than sixty (60) days after the date on which the secretary has received special meeting requests from the holders of the requisite percent. Upon determination of the time and place (if any) of the meeting, the secretary shall cause notice to be given to the stockholders entitled to vote, in accordance with the provisions of Sections 2.4 and 2.5 of this Article II. Nothing contained in this paragraph of this Section 2.3 shall be construed as limiting, fixing, or affecting the time when a meeting of stockholders called by action of the Board of Directors may be held. Business transacted at a stockholder-requested special meeting shall be limited to: (i) the business stated in the valid special meeting request received from the requisite percent, and (ii) any additional business that the Board of Directors determines to include in the corporation’s notice of meeting. The Board of Directors may postpone, reschedule or cancel any special meeting of stockholders other than a stockholder-requested special meeting.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(h)    Nominations of persons for election to the Board of Directors may be made at a special meeting of the stockholders at which directors are to be elected (i) by or at the direction of the Board of Directors or a duly authorized committee thereof or (ii) by any stockholder of the corporation (1) who is a stockholder of record at the time of giving notice provided for in this paragraph, who is entitled to vote at the meeting and who complies with Sections 2.2(b)(1), 2.2(b)(4), 2.2(c), 2.2(e) and 2.2(f) or (2) in the case of a stockholder-requested special meeting, pursuant to Section 2.3(a).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the stockholders (other than a stockholder-requested special meeting)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Sections 2.2(b)(1) and 2.2(b)(4) shall be received by the secretary at the principal executive offices of the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corporation not earlier than 120 days prior to such special meeting and not later than the close of business on the later of the 90th day prior to such meeting or the tenth day following the day on which the corporation first makes a public announcement of the date of the special meeting at which directors are to be elected. In no event shall an adjournment or a postponement (or a public announcement thereof) of a special meeting of the stockholders for which notice has been given, or the public announcement thereof has been made, commence a new time period (or extend any time period) for the giving of a stockholder’s notice as described above. Notwithstanding any other provision of these Bylaws, in the case of a stockholder-requested special meeting, no stockholder may nominate a person for election to the Board of Directors or propose any other business to be considered at the meeting, except pursuant to the special meeting request(s) delivered for such special meeting pursuant to Section 2.2(b)(1).</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A person shall not be eligible for election or re-election as a director at the special meeting of the stockholders unless the person is nominated either in accordance with clause (i) or clause (ii) of Section 2.3(h). Except as otherwise required by applicable law, the Board of Directors or the chairperson of the meeting shall have the power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required in Section 2.2, to declare that such nomination shall not be presented for stockholder action at the meeting and shall be disregarded (and such nominee disqualified from standing for election or re-election), notwithstanding that the nominee is included (as applicable) as a nominee in the corporation’s proxy statement, notice of meeting or other proxy materials and notwithstanding that proxies or votes in respect of such nomination may have been solicited or received. Notwithstanding the foregoing provisions of this Section 2.3, unless otherwise required by applicable law, if the stockholder (or a qualified representative of the stockholder (meeting the requirements specified in Section 2.2(f)) does not appear at the special meeting of the stockholders of the corporation to present a nomination, such nomination shall be disregarded (and such nominee disqualified from standing for election or re-election), notwithstanding that the nominee is included (as applicable) as a nominee in the corporation’s proxy statement, notice of meeting or other proxy materials and notwithstanding that proxies or votes in respect of such nomination may have been solicited or received by the 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    Notwithstanding the foregoing provisions of this Section 2.3, a stockholder must also comply with all applicable requirements of the 1934 Act and the rules and regulations thereunder with respect to matters set forth in this Section 2.3 and any failure to comply with such requirements shall be deemed a failure to comply with this Section 2.3.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to be considered pursuant to Section 2.3(h).</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color w:val="000000"/>
          <w:sz w:val="24"/>
          <w:u w:val="single"/>
        </w:rPr>
        <w:t>Notice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Stockholders’</w:t>
      </w:r>
      <w:r>
        <w:rPr>
          <w:color w:val="000000"/>
          <w:u w:val="single"/>
        </w:rPr>
        <w:t xml:space="preserve"> </w:t>
      </w:r>
      <w:r>
        <w:rPr>
          <w:rFonts w:ascii="Times New Roman;serif" w:hAnsi="Times New Roman;serif"/>
          <w:b/>
          <w:color w:val="000000"/>
          <w:sz w:val="24"/>
          <w:u w:val="single"/>
        </w:rPr>
        <w:t>Meetings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Except as otherwise provided by applicable law, the certificate of incorporation or these Bylaws, notices of each meeting of the stockholders shall be given in accordance with Section 2.5 of these Bylaws not less than ten (10) nor more than sixty (60) days before the date of the meeting to each stockholder entitled to vote at such meeting as of the record date for determining the stockholders entitled to notice of such meeting.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specify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hour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 of a special meeting of the stockholders, the purpose or purposes for which the meeting is called.</w:t>
      </w:r>
    </w:p>
    <w:p>
      <w:pPr>
        <w:pStyle w:val="TextBody"/>
        <w:bidi w:val="0"/>
        <w:spacing w:lineRule="auto" w:line="288" w:before="0" w:after="240"/>
        <w:ind w:left="0" w:right="0" w:firstLine="720"/>
        <w:jc w:val="both"/>
        <w:rPr/>
      </w:pPr>
      <w:r>
        <w:rPr>
          <w:rFonts w:ascii="Times New Roman;serif" w:hAnsi="Times New Roman;serif"/>
          <w:b w:val="false"/>
          <w:color w:val="000000"/>
          <w:sz w:val="24"/>
        </w:rPr>
        <w:t>2.5    </w:t>
      </w:r>
      <w:r>
        <w:rPr>
          <w:rFonts w:ascii="Times New Roman;serif" w:hAnsi="Times New Roman;serif"/>
          <w:b/>
          <w:color w:val="000000"/>
          <w:sz w:val="24"/>
          <w:u w:val="single"/>
        </w:rPr>
        <w:t>Manner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Giving</w:t>
      </w:r>
      <w:r>
        <w:rPr>
          <w:color w:val="000000"/>
          <w:u w:val="single"/>
        </w:rPr>
        <w:t xml:space="preserve"> </w:t>
      </w:r>
      <w:r>
        <w:rPr>
          <w:rFonts w:ascii="Times New Roman;serif" w:hAnsi="Times New Roman;serif"/>
          <w:b/>
          <w:color w:val="000000"/>
          <w:sz w:val="24"/>
          <w:u w:val="single"/>
        </w:rPr>
        <w:t>Notice;</w:t>
      </w:r>
      <w:r>
        <w:rPr>
          <w:color w:val="000000"/>
          <w:u w:val="single"/>
        </w:rPr>
        <w:t xml:space="preserve"> </w:t>
      </w:r>
      <w:r>
        <w:rPr>
          <w:rFonts w:ascii="Times New Roman;serif" w:hAnsi="Times New Roman;serif"/>
          <w:b/>
          <w:color w:val="000000"/>
          <w:sz w:val="24"/>
          <w:u w:val="single"/>
        </w:rPr>
        <w:t>Affidavit</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Notice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Notice shall be deemed given as provided in Section 232 of the DGCL.</w:t>
      </w:r>
      <w:r>
        <w:rPr>
          <w:color w:val="000000"/>
        </w:rPr>
        <w:t xml:space="preserve"> </w:t>
      </w:r>
      <w:r>
        <w:rPr>
          <w:rFonts w:ascii="Times New Roman;serif" w:hAnsi="Times New Roman;serif"/>
          <w:b w:val="false"/>
          <w:color w:val="000000"/>
          <w:sz w:val="24"/>
        </w:rPr>
        <w:t>An affidavit of the secretary or an assistant secretary or of the transfer agent of the corporation that the notice has been given shall, in the absence of fraud, be prima facie evidence of the facts stated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2.6    </w:t>
      </w:r>
      <w:r>
        <w:rPr>
          <w:rFonts w:ascii="Times New Roman;serif" w:hAnsi="Times New Roman;serif"/>
          <w:b/>
          <w:color w:val="000000"/>
          <w:sz w:val="24"/>
          <w:u w:val="single"/>
        </w:rPr>
        <w:t>Quorum</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one-third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outstanding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entitled to vote thereat, present in person or represented by proxy, shall constitute a quorum at all meetings of the stockholders for the transaction of business except as otherwise required by law or by the certificate of incorporation.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2.7    </w:t>
      </w:r>
      <w:r>
        <w:rPr>
          <w:rFonts w:ascii="Times New Roman;serif" w:hAnsi="Times New Roman;serif"/>
          <w:b/>
          <w:color w:val="000000"/>
          <w:sz w:val="24"/>
          <w:u w:val="single"/>
        </w:rPr>
        <w:t>Adjourned</w:t>
      </w:r>
      <w:r>
        <w:rPr>
          <w:color w:val="000000"/>
          <w:u w:val="single"/>
        </w:rPr>
        <w:t xml:space="preserve"> </w:t>
      </w:r>
      <w:r>
        <w:rPr>
          <w:rFonts w:ascii="Times New Roman;serif" w:hAnsi="Times New Roman;serif"/>
          <w:b/>
          <w:color w:val="000000"/>
          <w:sz w:val="24"/>
          <w:u w:val="single"/>
        </w:rPr>
        <w:t>Meeting;</w:t>
      </w:r>
      <w:r>
        <w:rPr>
          <w:color w:val="000000"/>
          <w:u w:val="single"/>
        </w:rPr>
        <w:t xml:space="preserve"> </w:t>
      </w:r>
      <w:r>
        <w:rPr>
          <w:rFonts w:ascii="Times New Roman;serif" w:hAnsi="Times New Roman;serif"/>
          <w:b/>
          <w:color w:val="000000"/>
          <w:sz w:val="24"/>
          <w:u w:val="single"/>
        </w:rPr>
        <w:t>Notice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 meeting of stockholders, whether annual or special, may be adjourned from time to time either by the chairperson of the meeting or by the stockholders, by the affirmative vote of a majority of the votes cast affirmatively or negatively. When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adjourned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time, including an adjournment taken to address a technical failure to convene or continue a meeting using remote communication,</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these Bylaws otherwise require, notice need not be given of the adjourned meeting if the time and place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remote</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stockholders and proxyholders may be deemed to be present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2.4 and Section 2.5.</w:t>
      </w:r>
      <w:r>
        <w:rPr>
          <w:color w:val="000000"/>
        </w:rPr>
        <w:t xml:space="preserve"> </w:t>
      </w:r>
      <w:r>
        <w:rPr>
          <w:rFonts w:ascii="Times New Roman;serif" w:hAnsi="Times New Roman;serif"/>
          <w:b w:val="false"/>
          <w:color w:val="000000"/>
          <w:sz w:val="24"/>
        </w:rPr>
        <w:t>At the adjourned meeting the corporation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transact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might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transacted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original</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 xml:space="preserve">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as a new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record date for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2.8    </w:t>
      </w:r>
      <w:r>
        <w:rPr>
          <w:rFonts w:ascii="Times New Roman;serif" w:hAnsi="Times New Roman;serif"/>
          <w:b/>
          <w:color w:val="000000"/>
          <w:sz w:val="24"/>
          <w:u w:val="single"/>
        </w:rPr>
        <w:t>Organization;</w:t>
      </w:r>
      <w:r>
        <w:rPr>
          <w:color w:val="000000"/>
          <w:u w:val="single"/>
        </w:rPr>
        <w:t xml:space="preserve"> </w:t>
      </w:r>
      <w:r>
        <w:rPr>
          <w:rFonts w:ascii="Times New Roman;serif" w:hAnsi="Times New Roman;serif"/>
          <w:b/>
          <w:color w:val="000000"/>
          <w:sz w:val="24"/>
          <w:u w:val="single"/>
        </w:rPr>
        <w:t>Conduct</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Business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Such person as the Board of Directors may have designated or, in the absence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 the</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her</w:t>
      </w:r>
      <w:r>
        <w:rPr>
          <w:color w:val="000000"/>
        </w:rPr>
        <w:t xml:space="preserve"> </w:t>
      </w:r>
      <w:r>
        <w:rPr>
          <w:rFonts w:ascii="Times New Roman;serif" w:hAnsi="Times New Roman;serif"/>
          <w:b w:val="false"/>
          <w:color w:val="000000"/>
          <w:sz w:val="24"/>
        </w:rPr>
        <w:t>absence,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president, shall call to order any meeting of the stockholders and act as chairperson of the meeting.</w:t>
      </w:r>
      <w:r>
        <w:rPr>
          <w:color w:val="000000"/>
        </w:rPr>
        <w:t xml:space="preserve"> </w:t>
      </w:r>
      <w:r>
        <w:rPr>
          <w:rFonts w:ascii="Times New Roman;serif" w:hAnsi="Times New Roman;serif"/>
          <w:b w:val="false"/>
          <w:color w:val="000000"/>
          <w:sz w:val="24"/>
        </w:rPr>
        <w:t>In the absence of the secretary of the corporation, the secretary of the meeting shall be such person as the chairperson of the meeting appoints.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Board of Directors may adopt such rules and regulations for the conduct of any meeting of stockholders as it shall deem appropriate. Except to the extent inconsistent with such rules and regulations as adopted by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qualified representatives (including rules around who qualifies as such)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The date and time of opening and closing of the polls for each matter upon which the stockholders will vote at the meeting shall be announced at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2.9    </w:t>
      </w:r>
      <w:r>
        <w:rPr>
          <w:rFonts w:ascii="Times New Roman;serif" w:hAnsi="Times New Roman;serif"/>
          <w:b/>
          <w:color w:val="000000"/>
          <w:sz w:val="24"/>
          <w:u w:val="single"/>
        </w:rPr>
        <w:t>Voting</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stockholders entitled to vote at any meeting of the stockholders shall be determined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2.11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217</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218</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 voting</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fiduciaries,</w:t>
      </w:r>
      <w:r>
        <w:rPr>
          <w:color w:val="000000"/>
        </w:rPr>
        <w:t xml:space="preserve"> </w:t>
      </w:r>
      <w:r>
        <w:rPr>
          <w:rFonts w:ascii="Times New Roman;serif" w:hAnsi="Times New Roman;serif"/>
          <w:b w:val="false"/>
          <w:color w:val="000000"/>
          <w:sz w:val="24"/>
        </w:rPr>
        <w:t>pledgors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joint</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trusts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 voting agreements).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Except as may be otherwise provided in the certificate of incorporation, each stockholder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share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 All elections shall be determined by a plurality of the votes cast, and except as otherwise required by law, all other matters shall be determined by a majority of the votes cast affirmatively or negatively.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2.10    </w:t>
      </w:r>
      <w:r>
        <w:rPr>
          <w:rFonts w:ascii="Times New Roman;serif" w:hAnsi="Times New Roman;serif"/>
          <w:b/>
          <w:color w:val="000000"/>
          <w:sz w:val="24"/>
          <w:u w:val="single"/>
        </w:rPr>
        <w:t>Waiver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Notice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Whenever notice is required to be given under any provision of the DGCL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w:t>
      </w:r>
      <w:r>
        <w:rPr>
          <w:color w:val="000000"/>
        </w:rPr>
        <w:t xml:space="preserve"> </w:t>
      </w:r>
      <w:r>
        <w:rPr>
          <w:rFonts w:ascii="Times New Roman;serif" w:hAnsi="Times New Roman;serif"/>
          <w:b w:val="false"/>
          <w:color w:val="000000"/>
          <w:sz w:val="24"/>
        </w:rPr>
        <w:t>Attendance of a person at a meeting shall constitute a waiver of notice of such meeting, except when the person attends a meeting for the express purpose of objecting,</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business because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 is not lawfully called or convened.</w:t>
      </w:r>
      <w:r>
        <w:rPr>
          <w:color w:val="000000"/>
        </w:rPr>
        <w:t xml:space="preserve"> </w:t>
      </w:r>
      <w:r>
        <w:rPr>
          <w:rFonts w:ascii="Times New Roman;serif" w:hAnsi="Times New Roman;serif"/>
          <w:b w:val="false"/>
          <w:color w:val="000000"/>
          <w:sz w:val="24"/>
        </w:rPr>
        <w:t>Neither the business to be transacted at, nor the purpose of, any regular or special meeting of the stockholders need be specified in any written waiver of notice,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transmission,</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 incorporation or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2.11    </w:t>
      </w:r>
      <w:r>
        <w:rPr>
          <w:rFonts w:ascii="Times New Roman;serif" w:hAnsi="Times New Roman;serif"/>
          <w:b/>
          <w:color w:val="000000"/>
          <w:sz w:val="24"/>
          <w:u w:val="single"/>
        </w:rPr>
        <w:t>Record</w:t>
      </w:r>
      <w:r>
        <w:rPr>
          <w:color w:val="000000"/>
          <w:u w:val="single"/>
        </w:rPr>
        <w:t xml:space="preserve"> </w:t>
      </w:r>
      <w:r>
        <w:rPr>
          <w:rFonts w:ascii="Times New Roman;serif" w:hAnsi="Times New Roman;serif"/>
          <w:b/>
          <w:color w:val="000000"/>
          <w:sz w:val="24"/>
          <w:u w:val="single"/>
        </w:rPr>
        <w:t>Date</w:t>
      </w:r>
      <w:r>
        <w:rPr>
          <w:color w:val="000000"/>
          <w:u w:val="single"/>
        </w:rPr>
        <w:t xml:space="preserve"> </w:t>
      </w:r>
      <w:r>
        <w:rPr>
          <w:rFonts w:ascii="Times New Roman;serif" w:hAnsi="Times New Roman;serif"/>
          <w:b/>
          <w:color w:val="000000"/>
          <w:sz w:val="24"/>
          <w:u w:val="single"/>
        </w:rPr>
        <w:t>For</w:t>
      </w:r>
      <w:r>
        <w:rPr>
          <w:color w:val="000000"/>
          <w:u w:val="single"/>
        </w:rPr>
        <w:t xml:space="preserve"> </w:t>
      </w:r>
      <w:r>
        <w:rPr>
          <w:rFonts w:ascii="Times New Roman;serif" w:hAnsi="Times New Roman;serif"/>
          <w:b/>
          <w:color w:val="000000"/>
          <w:sz w:val="24"/>
          <w:u w:val="single"/>
        </w:rPr>
        <w:t>Stockholder</w:t>
      </w:r>
      <w:r>
        <w:rPr>
          <w:color w:val="000000"/>
          <w:u w:val="single"/>
        </w:rPr>
        <w:t xml:space="preserve"> </w:t>
      </w:r>
      <w:r>
        <w:rPr>
          <w:rFonts w:ascii="Times New Roman;serif" w:hAnsi="Times New Roman;serif"/>
          <w:b/>
          <w:color w:val="000000"/>
          <w:sz w:val="24"/>
          <w:u w:val="single"/>
        </w:rPr>
        <w:t>Notice;</w:t>
      </w:r>
      <w:r>
        <w:rPr>
          <w:color w:val="000000"/>
          <w:u w:val="single"/>
        </w:rPr>
        <w:t xml:space="preserve"> </w:t>
      </w:r>
      <w:r>
        <w:rPr>
          <w:rFonts w:ascii="Times New Roman;serif" w:hAnsi="Times New Roman;serif"/>
          <w:b/>
          <w:color w:val="000000"/>
          <w:sz w:val="24"/>
          <w:u w:val="single"/>
        </w:rPr>
        <w:t>Voting</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w:t>
      </w:r>
      <w:r>
        <w:rPr>
          <w:color w:val="000000"/>
        </w:rPr>
        <w:t xml:space="preserve"> </w:t>
      </w:r>
      <w:r>
        <w:rPr>
          <w:rFonts w:ascii="Times New Roman;serif" w:hAnsi="Times New Roman;serif"/>
          <w:b w:val="false"/>
          <w:color w:val="000000"/>
          <w:sz w:val="24"/>
        </w:rPr>
        <w:t>lawful</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fix,</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advance,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 in accordance with Section 213 of the DGCL.</w:t>
      </w:r>
    </w:p>
    <w:p>
      <w:pPr>
        <w:pStyle w:val="TextBody"/>
        <w:bidi w:val="0"/>
        <w:spacing w:lineRule="auto" w:line="288" w:before="0" w:after="240"/>
        <w:ind w:left="0" w:right="0" w:firstLine="1440"/>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fix</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record date for determining stockholders entitled to notice of and to vote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meeting of the stockholders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 day on which notice is given, or, if notice is waived, at the close of business on the day next preceding the day on which the meeting is held.</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The</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determining</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purpose</w:t>
      </w:r>
      <w:r>
        <w:rPr>
          <w:color w:val="000000"/>
        </w:rPr>
        <w:t xml:space="preserve"> </w:t>
      </w:r>
      <w:r>
        <w:rPr>
          <w:rFonts w:ascii="Times New Roman;serif" w:hAnsi="Times New Roman;serif"/>
          <w:b w:val="false"/>
          <w:color w:val="000000"/>
          <w:sz w:val="24"/>
        </w:rPr>
        <w:t>shall be at the close of business on the day on which the Board of Directors adopts the resolution relating thereto.</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determination of stockholders of record entitled to notice of or to vote at a meeting of the stockholders shall apply to any adjournment of the meeting, if such adjournment is for</w:t>
      </w:r>
      <w:r>
        <w:rPr>
          <w:color w:val="000000"/>
        </w:rPr>
        <w:t xml:space="preserve"> </w:t>
      </w:r>
      <w:r>
        <w:rPr>
          <w:rFonts w:ascii="Times New Roman;serif" w:hAnsi="Times New Roman;serif"/>
          <w:b w:val="false"/>
          <w:color w:val="000000"/>
          <w:sz w:val="24"/>
        </w:rPr>
        <w:t>thirty</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2.12    </w:t>
      </w:r>
      <w:r>
        <w:rPr>
          <w:rFonts w:ascii="Times New Roman;serif" w:hAnsi="Times New Roman;serif"/>
          <w:b/>
          <w:color w:val="000000"/>
          <w:sz w:val="24"/>
          <w:u w:val="single"/>
        </w:rPr>
        <w:t>Proxies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Each stockholder entitled to vote at a meeting of the stockholders may authorize another person or persons to act for such stockholder in accordance with Section 212 of the DGCL, but no such proxy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voted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acted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years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the</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proxy</w:t>
      </w:r>
      <w:r>
        <w:rPr>
          <w:color w:val="000000"/>
        </w:rPr>
        <w:t xml:space="preserve"> </w:t>
      </w:r>
      <w:r>
        <w:rPr>
          <w:rFonts w:ascii="Times New Roman;serif" w:hAnsi="Times New Roman;serif"/>
          <w:b w:val="false"/>
          <w:color w:val="000000"/>
          <w:sz w:val="24"/>
        </w:rPr>
        <w:t>provides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 longer period.</w:t>
      </w:r>
      <w:r>
        <w:rPr>
          <w:color w:val="000000"/>
        </w:rPr>
        <w:t xml:space="preserve"> </w:t>
      </w:r>
      <w:r>
        <w:rPr>
          <w:rFonts w:ascii="Times New Roman;serif" w:hAnsi="Times New Roman;serif"/>
          <w:b w:val="false"/>
          <w:color w:val="000000"/>
          <w:sz w:val="24"/>
        </w:rPr>
        <w:t>The revocability of a proxy that states on its face that it is irrevocable shall be governed by the provisions of Section 212(e) of the DGCL. Any stockholder directly or indirectly soliciting proxies from other stockholders must use a proxy card color other than white, which shall be reserved for the exclusive use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2.13    </w:t>
      </w:r>
      <w:r>
        <w:rPr>
          <w:rFonts w:ascii="Times New Roman;serif" w:hAnsi="Times New Roman;serif"/>
          <w:b/>
          <w:color w:val="000000"/>
          <w:sz w:val="24"/>
          <w:u w:val="single"/>
        </w:rPr>
        <w:t>Delivery to the Corporation</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Irrespective of Section 116 of the DGCL, whenever this Article II requires one or more persons (including a record or beneficial owner of stock) to deliver a document or information to the corporation or any officer, employee or agent thereof (including any notice, request, questionnaire, revocation, representation, letter or other document or agreement), such document or information must be in writing exclusively (and not in an electronic transmission) and delivered exclusively by hand (including, without limitation, overnight courier service) or by certified or registered mail, return receipt requested.</w:t>
      </w:r>
    </w:p>
    <w:p>
      <w:pPr>
        <w:pStyle w:val="TextBody"/>
        <w:bidi w:val="0"/>
        <w:spacing w:lineRule="auto" w:line="288"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br/>
        <w:t>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3.1    </w:t>
      </w:r>
      <w:r>
        <w:rPr>
          <w:rFonts w:ascii="Times New Roman;serif" w:hAnsi="Times New Roman;serif"/>
          <w:b/>
          <w:color w:val="000000"/>
          <w:sz w:val="24"/>
          <w:u w:val="single"/>
        </w:rPr>
        <w:t>Powers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DGCL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 limitations in the certificate of incorporation or these Bylaws relating to action required to be approved by the stockholders or by the outstanding shares, all corporate powers shall be exercised by or under the direction of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3.2    </w:t>
      </w:r>
      <w:r>
        <w:rPr>
          <w:rFonts w:ascii="Times New Roman;serif" w:hAnsi="Times New Roman;serif"/>
          <w:b/>
          <w:color w:val="000000"/>
          <w:sz w:val="24"/>
          <w:u w:val="single"/>
        </w:rPr>
        <w:t>Number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authorized number of directors of the corporation shall be fixed by a resolution of the Board of Directors or of the stockholders. No reduction of the authorized number of directors shall have the effect of removing any director before such director’s term expires.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3.3    </w:t>
      </w:r>
      <w:r>
        <w:rPr>
          <w:rFonts w:ascii="Times New Roman;serif" w:hAnsi="Times New Roman;serif"/>
          <w:b/>
          <w:color w:val="000000"/>
          <w:sz w:val="24"/>
          <w:u w:val="single"/>
        </w:rPr>
        <w:t>Election,</w:t>
      </w:r>
      <w:r>
        <w:rPr>
          <w:color w:val="000000"/>
          <w:u w:val="single"/>
        </w:rPr>
        <w:t xml:space="preserve"> </w:t>
      </w:r>
      <w:r>
        <w:rPr>
          <w:rFonts w:ascii="Times New Roman;serif" w:hAnsi="Times New Roman;serif"/>
          <w:b/>
          <w:color w:val="000000"/>
          <w:sz w:val="24"/>
          <w:u w:val="single"/>
        </w:rPr>
        <w:t>Qualification</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Term</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Office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Except as provided in Section 3.4 of these Bylaws, each director, including a director elected to fill a vacancy, shall hold office until the expiration of the term for which elected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elected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qualified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earlier death, resignation or removal.</w:t>
      </w:r>
      <w:r>
        <w:rPr>
          <w:color w:val="000000"/>
        </w:rPr>
        <w:t xml:space="preserve"> </w:t>
      </w:r>
      <w:r>
        <w:rPr>
          <w:rFonts w:ascii="Times New Roman;serif" w:hAnsi="Times New Roman;serif"/>
          <w:b w:val="false"/>
          <w:color w:val="000000"/>
          <w:sz w:val="24"/>
        </w:rPr>
        <w:t>Directors need not be stockholders unless so required by the certificate of incorporation or these Bylaws, wherein other qualifications for directors may be prescribed.</w:t>
      </w:r>
      <w:r>
        <w:rPr>
          <w:color w:val="000000"/>
        </w:rPr>
        <w:t xml:space="preserve"> </w:t>
      </w:r>
      <w:r>
        <w:rPr>
          <w:rFonts w:ascii="Times New Roman;serif" w:hAnsi="Times New Roman;serif"/>
          <w:b w:val="false"/>
          <w:color w:val="000000"/>
          <w:sz w:val="24"/>
        </w:rPr>
        <w:t>The certificate of incorporation or these Bylaws may prescribe other qualifications for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elections</w:t>
      </w:r>
      <w:r>
        <w:rPr>
          <w:color w:val="000000"/>
        </w:rPr>
        <w:t xml:space="preserve"> </w:t>
      </w:r>
      <w:r>
        <w:rPr>
          <w:rFonts w:ascii="Times New Roman;serif" w:hAnsi="Times New Roman;serif"/>
          <w:b w:val="false"/>
          <w:color w:val="000000"/>
          <w:sz w:val="24"/>
        </w:rPr>
        <w:t>of directors need not be by written ballot.</w:t>
      </w:r>
    </w:p>
    <w:p>
      <w:pPr>
        <w:pStyle w:val="TextBody"/>
        <w:bidi w:val="0"/>
        <w:spacing w:lineRule="auto" w:line="288" w:before="0" w:after="240"/>
        <w:ind w:left="0" w:right="0" w:firstLine="720"/>
        <w:jc w:val="both"/>
        <w:rPr/>
      </w:pPr>
      <w:r>
        <w:rPr>
          <w:rFonts w:ascii="Times New Roman;serif" w:hAnsi="Times New Roman;serif"/>
          <w:b w:val="false"/>
          <w:color w:val="000000"/>
          <w:sz w:val="24"/>
        </w:rPr>
        <w:t>3.4    </w:t>
      </w:r>
      <w:r>
        <w:rPr>
          <w:rFonts w:ascii="Times New Roman;serif" w:hAnsi="Times New Roman;serif"/>
          <w:b/>
          <w:color w:val="000000"/>
          <w:sz w:val="24"/>
          <w:u w:val="single"/>
        </w:rPr>
        <w:t>Resignation</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Vacancies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 director may resign at any time upon written notice to the attention of the secretary.</w:t>
      </w:r>
      <w:r>
        <w:rPr>
          <w:color w:val="000000"/>
        </w:rPr>
        <w:t xml:space="preserve"> </w:t>
      </w:r>
      <w:r>
        <w:rPr>
          <w:rFonts w:ascii="Times New Roman;serif" w:hAnsi="Times New Roman;serif"/>
          <w:b w:val="false"/>
          <w:color w:val="000000"/>
          <w:sz w:val="24"/>
        </w:rPr>
        <w:t>When one or more directors so resigns and the resignation is effective at a future date, a majority of the directors then in office, including those who have so resigned,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fill</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vacancy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vacancies,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thereon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when such resignation or resignations shall become effective, and each director so chosen shall hold office as provided in this section in the filling of other vacancies.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Vacancies and newly created directorships resulting from any increase in the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elected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having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vote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 single class shall be filled only by the affirmative vote of a majority of the directors then in office, although less than a quorum, or by a sole remaining director.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elected,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majority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directors then in office, although less than a quorum, or by a sole remaining director.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the stockholders in accordance with the provisions of the certificate of incorporation or these Bylaws,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Chancery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decree</w:t>
      </w:r>
      <w:r>
        <w:rPr>
          <w:color w:val="000000"/>
        </w:rPr>
        <w:t xml:space="preserve"> </w:t>
      </w:r>
      <w:r>
        <w:rPr>
          <w:rFonts w:ascii="Times New Roman;serif" w:hAnsi="Times New Roman;serif"/>
          <w:b w:val="false"/>
          <w:color w:val="000000"/>
          <w:sz w:val="24"/>
        </w:rPr>
        <w:t>summarily</w:t>
      </w:r>
      <w:r>
        <w:rPr>
          <w:color w:val="000000"/>
        </w:rPr>
        <w:t xml:space="preserve"> </w:t>
      </w:r>
      <w:r>
        <w:rPr>
          <w:rFonts w:ascii="Times New Roman;serif" w:hAnsi="Times New Roman;serif"/>
          <w:b w:val="false"/>
          <w:color w:val="000000"/>
          <w:sz w:val="24"/>
        </w:rPr>
        <w:t>ordering</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election</w:t>
      </w:r>
      <w:r>
        <w:rPr>
          <w:color w:val="000000"/>
        </w:rPr>
        <w:t xml:space="preserve"> </w:t>
      </w:r>
      <w:r>
        <w:rPr>
          <w:rFonts w:ascii="Times New Roman;serif" w:hAnsi="Times New Roman;serif"/>
          <w:b w:val="false"/>
          <w:color w:val="000000"/>
          <w:sz w:val="24"/>
        </w:rPr>
        <w:t>as provided in Section 211 of the DGCL.</w:t>
      </w:r>
    </w:p>
    <w:p>
      <w:pPr>
        <w:pStyle w:val="TextBody"/>
        <w:bidi w:val="0"/>
        <w:spacing w:lineRule="auto" w:line="288" w:before="0" w:after="240"/>
        <w:ind w:left="0" w:right="0" w:firstLine="1440"/>
        <w:jc w:val="left"/>
        <w:rPr/>
      </w:pPr>
      <w:r>
        <w:rPr>
          <w:rFonts w:ascii="Times New Roman;serif" w:hAnsi="Times New Roman;serif"/>
          <w:b w:val="false"/>
          <w:color w:val="000000"/>
          <w:sz w:val="24"/>
        </w:rPr>
        <w:t>If, at the time of filling any vacancy or any newly created directorship, the directors then in office constitute less than a majority of the whole board (as constituted immediately prior to any such increase), then the Court of Chancery may, upon application of any</w:t>
      </w:r>
      <w:r>
        <w:rPr>
          <w:color w:val="000000"/>
        </w:rPr>
        <w:t xml:space="preserve"> </w:t>
      </w:r>
      <w:r>
        <w:rPr>
          <w:rFonts w:ascii="Times New Roman;serif" w:hAnsi="Times New Roman;serif"/>
          <w:b w:val="false"/>
          <w:color w:val="000000"/>
          <w:sz w:val="24"/>
        </w:rPr>
        <w:t>stockholder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holding</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total</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 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3.5    </w:t>
      </w:r>
      <w:r>
        <w:rPr>
          <w:rFonts w:ascii="Times New Roman;serif" w:hAnsi="Times New Roman;serif"/>
          <w:b/>
          <w:color w:val="000000"/>
          <w:sz w:val="24"/>
          <w:u w:val="single"/>
        </w:rPr>
        <w:t>Place</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Meetings;</w:t>
      </w:r>
      <w:r>
        <w:rPr>
          <w:color w:val="000000"/>
          <w:u w:val="single"/>
        </w:rPr>
        <w:t xml:space="preserve"> </w:t>
      </w:r>
      <w:r>
        <w:rPr>
          <w:rFonts w:ascii="Times New Roman;serif" w:hAnsi="Times New Roman;serif"/>
          <w:b/>
          <w:color w:val="000000"/>
          <w:sz w:val="24"/>
          <w:u w:val="single"/>
        </w:rPr>
        <w:t>Meetings</w:t>
      </w:r>
      <w:r>
        <w:rPr>
          <w:color w:val="000000"/>
          <w:u w:val="single"/>
        </w:rPr>
        <w:t xml:space="preserve"> </w:t>
      </w:r>
      <w:r>
        <w:rPr>
          <w:rFonts w:ascii="Times New Roman;serif" w:hAnsi="Times New Roman;serif"/>
          <w:b/>
          <w:color w:val="000000"/>
          <w:sz w:val="24"/>
          <w:u w:val="single"/>
        </w:rPr>
        <w:t>By</w:t>
      </w:r>
      <w:r>
        <w:rPr>
          <w:color w:val="000000"/>
          <w:u w:val="single"/>
        </w:rPr>
        <w:t xml:space="preserve"> </w:t>
      </w:r>
      <w:r>
        <w:rPr>
          <w:rFonts w:ascii="Times New Roman;serif" w:hAnsi="Times New Roman;serif"/>
          <w:b/>
          <w:color w:val="000000"/>
          <w:sz w:val="24"/>
          <w:u w:val="single"/>
        </w:rPr>
        <w:t>Telephone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hold</w:t>
      </w:r>
      <w:r>
        <w:rPr>
          <w:color w:val="000000"/>
        </w:rPr>
        <w:t xml:space="preserve"> </w:t>
      </w:r>
      <w:r>
        <w:rPr>
          <w:rFonts w:ascii="Times New Roman;serif" w:hAnsi="Times New Roman;serif"/>
          <w:b w:val="false"/>
          <w:color w:val="000000"/>
          <w:sz w:val="24"/>
        </w:rPr>
        <w:t>meetings,</w:t>
      </w:r>
      <w:r>
        <w:rPr>
          <w:color w:val="000000"/>
        </w:rPr>
        <w:t xml:space="preserve"> </w:t>
      </w:r>
      <w:r>
        <w:rPr>
          <w:rFonts w:ascii="Times New Roman;serif" w:hAnsi="Times New Roman;serif"/>
          <w:b w:val="false"/>
          <w:color w:val="000000"/>
          <w:sz w:val="24"/>
        </w:rPr>
        <w:t>both</w:t>
      </w:r>
      <w:r>
        <w:rPr>
          <w:color w:val="000000"/>
        </w:rPr>
        <w:t xml:space="preserve"> </w:t>
      </w:r>
      <w:r>
        <w:rPr>
          <w:rFonts w:ascii="Times New Roman;serif" w:hAnsi="Times New Roman;serif"/>
          <w:b w:val="false"/>
          <w:color w:val="000000"/>
          <w:sz w:val="24"/>
        </w:rPr>
        <w:t>regular</w:t>
      </w:r>
      <w:r>
        <w:rPr>
          <w:color w:val="000000"/>
        </w:rPr>
        <w:t xml:space="preserve"> </w:t>
      </w:r>
      <w:r>
        <w:rPr>
          <w:rFonts w:ascii="Times New Roman;serif" w:hAnsi="Times New Roman;serif"/>
          <w:b w:val="false"/>
          <w:color w:val="000000"/>
          <w:sz w:val="24"/>
        </w:rPr>
        <w:t>and special, at such place (if any) either within or outside the State of Delaware.</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 otherwise restricted by the certificate of incorporation or these Bylaws, members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 Directors,</w:t>
      </w:r>
      <w:r>
        <w:rPr>
          <w:color w:val="000000"/>
        </w:rPr>
        <w:t xml:space="preserve"> </w:t>
      </w:r>
      <w:r>
        <w:rPr>
          <w:rFonts w:ascii="Times New Roman;serif" w:hAnsi="Times New Roman;serif"/>
          <w:b w:val="false"/>
          <w:color w:val="000000"/>
          <w:sz w:val="24"/>
        </w:rPr>
        <w:t>or any</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may participate in a meeting of the Board of Directors, or any committee, as applicable, by means of conference telephone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communications</w:t>
      </w:r>
      <w:r>
        <w:rPr>
          <w:color w:val="000000"/>
        </w:rPr>
        <w:t xml:space="preserve"> </w:t>
      </w:r>
      <w:r>
        <w:rPr>
          <w:rFonts w:ascii="Times New Roman;serif" w:hAnsi="Times New Roman;serif"/>
          <w:b w:val="false"/>
          <w:color w:val="000000"/>
          <w:sz w:val="24"/>
        </w:rPr>
        <w:t>equipment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 meeting can hear each other, and such participation in a meeting shall constitute presence in person at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3.6    </w:t>
      </w:r>
      <w:r>
        <w:rPr>
          <w:rFonts w:ascii="Times New Roman;serif" w:hAnsi="Times New Roman;serif"/>
          <w:b/>
          <w:color w:val="000000"/>
          <w:sz w:val="24"/>
          <w:u w:val="single"/>
        </w:rPr>
        <w:t>Regular</w:t>
      </w:r>
      <w:r>
        <w:rPr>
          <w:color w:val="000000"/>
          <w:u w:val="single"/>
        </w:rPr>
        <w:t xml:space="preserve"> </w:t>
      </w:r>
      <w:r>
        <w:rPr>
          <w:rFonts w:ascii="Times New Roman;serif" w:hAnsi="Times New Roman;serif"/>
          <w:b/>
          <w:color w:val="000000"/>
          <w:sz w:val="24"/>
          <w:u w:val="single"/>
        </w:rPr>
        <w:t>Meetings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Regular</w:t>
      </w:r>
      <w:r>
        <w:rPr>
          <w:color w:val="000000"/>
        </w:rPr>
        <w:t xml:space="preserve"> </w:t>
      </w:r>
      <w:r>
        <w:rPr>
          <w:rFonts w:ascii="Times New Roman;serif" w:hAnsi="Times New Roman;serif"/>
          <w:b w:val="false"/>
          <w:color w:val="000000"/>
          <w:sz w:val="24"/>
        </w:rPr>
        <w:t>meetings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 time and at such place as shall from time to time be determined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3.7    </w:t>
      </w:r>
      <w:r>
        <w:rPr>
          <w:rFonts w:ascii="Times New Roman;serif" w:hAnsi="Times New Roman;serif"/>
          <w:b/>
          <w:color w:val="000000"/>
          <w:sz w:val="24"/>
          <w:u w:val="single"/>
        </w:rPr>
        <w:t>Special</w:t>
      </w:r>
      <w:r>
        <w:rPr>
          <w:color w:val="000000"/>
          <w:u w:val="single"/>
        </w:rPr>
        <w:t xml:space="preserve"> </w:t>
      </w:r>
      <w:r>
        <w:rPr>
          <w:rFonts w:ascii="Times New Roman;serif" w:hAnsi="Times New Roman;serif"/>
          <w:b/>
          <w:color w:val="000000"/>
          <w:sz w:val="24"/>
          <w:u w:val="single"/>
        </w:rPr>
        <w:t>Meetings;</w:t>
      </w:r>
      <w:r>
        <w:rPr>
          <w:color w:val="000000"/>
          <w:u w:val="single"/>
        </w:rPr>
        <w:t xml:space="preserve"> </w:t>
      </w:r>
      <w:r>
        <w:rPr>
          <w:rFonts w:ascii="Times New Roman;serif" w:hAnsi="Times New Roman;serif"/>
          <w:b/>
          <w:color w:val="000000"/>
          <w:sz w:val="24"/>
          <w:u w:val="single"/>
        </w:rPr>
        <w:t>Notice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Special</w:t>
      </w:r>
      <w:r>
        <w:rPr>
          <w:color w:val="000000"/>
        </w:rPr>
        <w:t xml:space="preserve"> </w:t>
      </w:r>
      <w:r>
        <w:rPr>
          <w:rFonts w:ascii="Times New Roman;serif" w:hAnsi="Times New Roman;serif"/>
          <w:b w:val="false"/>
          <w:color w:val="000000"/>
          <w:sz w:val="24"/>
        </w:rPr>
        <w:t>meetings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purpose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 called at any time by the chairperson of the board, the chief executive officer, the president, any vice president, the secretary or any two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Notice of the time and place (if any) of special meetings shall be delivered personally or by telephone to each director or sent by first-class mail, facsimile, electronic transmission, or telegram, charges prepaid.</w:t>
      </w:r>
      <w:r>
        <w:rPr>
          <w:color w:val="000000"/>
        </w:rPr>
        <w:t xml:space="preserve"> </w:t>
      </w:r>
      <w:r>
        <w:rPr>
          <w:rFonts w:ascii="Times New Roman;serif" w:hAnsi="Times New Roman;serif"/>
          <w:b w:val="false"/>
          <w:color w:val="000000"/>
          <w:sz w:val="24"/>
        </w:rPr>
        <w:t>If the notice is mailed, it shall be deposited in the United States mail at least four (4) days before the time of the holding of the meeting.</w:t>
      </w:r>
      <w:r>
        <w:rPr>
          <w:color w:val="000000"/>
        </w:rPr>
        <w:t xml:space="preserve"> </w:t>
      </w:r>
      <w:r>
        <w:rPr>
          <w:rFonts w:ascii="Times New Roman;serif" w:hAnsi="Times New Roman;serif"/>
          <w:b w:val="false"/>
          <w:color w:val="000000"/>
          <w:sz w:val="24"/>
        </w:rPr>
        <w:t>If the notice is delivered personally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electronic</w:t>
      </w:r>
      <w:r>
        <w:rPr>
          <w:color w:val="000000"/>
        </w:rPr>
        <w:t xml:space="preserve"> </w:t>
      </w:r>
      <w:r>
        <w:rPr>
          <w:rFonts w:ascii="Times New Roman;serif" w:hAnsi="Times New Roman;serif"/>
          <w:b w:val="false"/>
          <w:color w:val="000000"/>
          <w:sz w:val="24"/>
        </w:rPr>
        <w:t>transmission,</w:t>
      </w:r>
      <w:r>
        <w:rPr>
          <w:color w:val="000000"/>
        </w:rPr>
        <w:t xml:space="preserve"> </w:t>
      </w:r>
      <w:r>
        <w:rPr>
          <w:rFonts w:ascii="Times New Roman;serif" w:hAnsi="Times New Roman;serif"/>
          <w:b w:val="false"/>
          <w:color w:val="000000"/>
          <w:sz w:val="24"/>
        </w:rPr>
        <w:t>telephone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telegram,</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at least</w:t>
      </w:r>
      <w:r>
        <w:rPr>
          <w:color w:val="000000"/>
        </w:rPr>
        <w:t xml:space="preserve"> </w:t>
      </w:r>
      <w:r>
        <w:rPr>
          <w:rFonts w:ascii="Times New Roman;serif" w:hAnsi="Times New Roman;serif"/>
          <w:b w:val="false"/>
          <w:color w:val="000000"/>
          <w:sz w:val="24"/>
        </w:rPr>
        <w:t>48</w:t>
      </w:r>
      <w:r>
        <w:rPr>
          <w:color w:val="000000"/>
        </w:rPr>
        <w:t xml:space="preserve"> </w:t>
      </w:r>
      <w:r>
        <w:rPr>
          <w:rFonts w:ascii="Times New Roman;serif" w:hAnsi="Times New Roman;serif"/>
          <w:b w:val="false"/>
          <w:color w:val="000000"/>
          <w:sz w:val="24"/>
        </w:rPr>
        <w:t>hours</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personally</w:t>
      </w:r>
      <w:r>
        <w:rPr>
          <w:color w:val="000000"/>
        </w:rPr>
        <w:t xml:space="preserve"> </w:t>
      </w:r>
      <w:r>
        <w:rPr>
          <w:rFonts w:ascii="Times New Roman;serif" w:hAnsi="Times New Roman;serif"/>
          <w:b w:val="false"/>
          <w:color w:val="000000"/>
          <w:sz w:val="24"/>
        </w:rPr>
        <w:t>or by telephone may be communicated either to the director or to a person at the office of the director who the person giving the notice has reason to believe will promptly communicate it to the director.</w:t>
      </w:r>
      <w:r>
        <w:rPr>
          <w:color w:val="000000"/>
        </w:rPr>
        <w:t xml:space="preserve"> </w:t>
      </w:r>
      <w:r>
        <w:rPr>
          <w:rFonts w:ascii="Times New Roman;serif" w:hAnsi="Times New Roman;serif"/>
          <w:b w:val="false"/>
          <w:color w:val="000000"/>
          <w:sz w:val="24"/>
        </w:rPr>
        <w:t>The notice need not specify the purpose of the meeting.</w:t>
      </w:r>
      <w:r>
        <w:rPr>
          <w:color w:val="000000"/>
        </w:rPr>
        <w:t xml:space="preserve"> </w:t>
      </w:r>
      <w:r>
        <w:rPr>
          <w:rFonts w:ascii="Times New Roman;serif" w:hAnsi="Times New Roman;serif"/>
          <w:b w:val="false"/>
          <w:color w:val="000000"/>
          <w:sz w:val="24"/>
        </w:rPr>
        <w:t>The notice need not specify the place of the meeting, if the meeting is to be held at the principal executive office of the corporation. Unless otherwise indicated in the notice thereof, any and all business may be transacted at a special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3.8    </w:t>
      </w:r>
      <w:r>
        <w:rPr>
          <w:rFonts w:ascii="Times New Roman;serif" w:hAnsi="Times New Roman;serif"/>
          <w:b/>
          <w:color w:val="000000"/>
          <w:sz w:val="24"/>
          <w:u w:val="single"/>
        </w:rPr>
        <w:t>Quorum</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At all meetings of the Board of Directors, a majority of the total number of directors then in office shall constitute a quorum for the transaction of business, provided, however,</w:t>
      </w:r>
      <w:r>
        <w:rPr>
          <w:color w:val="000000"/>
        </w:rPr>
        <w:t xml:space="preserve"> </w:t>
      </w:r>
      <w:r>
        <w:rPr>
          <w:rFonts w:ascii="Times New Roman;serif" w:hAnsi="Times New Roman;serif"/>
          <w:b w:val="false"/>
          <w:color w:val="000000"/>
          <w:sz w:val="24"/>
        </w:rPr>
        <w:t>that a</w:t>
      </w:r>
      <w:r>
        <w:rPr>
          <w:color w:val="000000"/>
        </w:rPr>
        <w:t xml:space="preserve"> </w:t>
      </w:r>
      <w:r>
        <w:rPr>
          <w:rFonts w:ascii="Times New Roman;serif" w:hAnsi="Times New Roman;serif"/>
          <w:b w:val="false"/>
          <w:color w:val="000000"/>
          <w:sz w:val="24"/>
        </w:rPr>
        <w:t>quorum</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than 1/3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total</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constituting</w:t>
      </w:r>
      <w:r>
        <w:rPr>
          <w:color w:val="000000"/>
        </w:rPr>
        <w:t xml:space="preserve"> </w:t>
      </w:r>
      <w:r>
        <w:rPr>
          <w:rFonts w:ascii="Times New Roman;serif" w:hAnsi="Times New Roman;serif"/>
          <w:b w:val="false"/>
          <w:color w:val="000000"/>
          <w:sz w:val="24"/>
        </w:rPr>
        <w:t>the entire authorized Board of Directors, as determined in Section 3.2 above. If a quorum is not present at any meeting of the Board of Directors, then the directors present thereat may adjourn the meeting from time to time, without notice other than announcement at the meeting, until a quorum is present.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meeting at which a quorum is initially present may continue to transact</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notwithstanding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withdrawal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approved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a majority of the required quorum for that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3.9    </w:t>
      </w:r>
      <w:r>
        <w:rPr>
          <w:rFonts w:ascii="Times New Roman;serif" w:hAnsi="Times New Roman;serif"/>
          <w:b/>
          <w:color w:val="000000"/>
          <w:sz w:val="24"/>
          <w:u w:val="single"/>
        </w:rPr>
        <w:t>Waiver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Notice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Whenever notice is required to be given under any provision of the DGCL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w:t>
      </w:r>
      <w:r>
        <w:rPr>
          <w:color w:val="000000"/>
        </w:rPr>
        <w:t xml:space="preserve"> </w:t>
      </w:r>
      <w:r>
        <w:rPr>
          <w:rFonts w:ascii="Times New Roman;serif" w:hAnsi="Times New Roman;serif"/>
          <w:b w:val="false"/>
          <w:color w:val="000000"/>
          <w:sz w:val="24"/>
        </w:rPr>
        <w:t>Attendance of a person at a meeting shall constitute a waiver of notice of such meeting, except when the person attends a meeting for the express purpose of objecting,</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business because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meeting is not lawfully called or convened.</w:t>
      </w:r>
      <w:r>
        <w:rPr>
          <w:color w:val="000000"/>
        </w:rPr>
        <w:t xml:space="preserve"> </w:t>
      </w:r>
      <w:r>
        <w:rPr>
          <w:rFonts w:ascii="Times New Roman;serif" w:hAnsi="Times New Roman;serif"/>
          <w:b w:val="false"/>
          <w:color w:val="000000"/>
          <w:sz w:val="24"/>
        </w:rPr>
        <w:t>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3.10    </w:t>
      </w:r>
      <w:r>
        <w:rPr>
          <w:rFonts w:ascii="Times New Roman;serif" w:hAnsi="Times New Roman;serif"/>
          <w:b/>
          <w:color w:val="000000"/>
          <w:sz w:val="24"/>
          <w:u w:val="single"/>
        </w:rPr>
        <w:t>Board</w:t>
      </w:r>
      <w:r>
        <w:rPr>
          <w:color w:val="000000"/>
          <w:u w:val="single"/>
        </w:rPr>
        <w:t xml:space="preserve"> </w:t>
      </w:r>
      <w:r>
        <w:rPr>
          <w:rFonts w:ascii="Times New Roman;serif" w:hAnsi="Times New Roman;serif"/>
          <w:b/>
          <w:color w:val="000000"/>
          <w:sz w:val="24"/>
          <w:u w:val="single"/>
        </w:rPr>
        <w:t>Action</w:t>
      </w:r>
      <w:r>
        <w:rPr>
          <w:color w:val="000000"/>
          <w:u w:val="single"/>
        </w:rPr>
        <w:t xml:space="preserve"> </w:t>
      </w:r>
      <w:r>
        <w:rPr>
          <w:rFonts w:ascii="Times New Roman;serif" w:hAnsi="Times New Roman;serif"/>
          <w:b/>
          <w:color w:val="000000"/>
          <w:sz w:val="24"/>
          <w:u w:val="single"/>
        </w:rPr>
        <w:t>By</w:t>
      </w:r>
      <w:r>
        <w:rPr>
          <w:color w:val="000000"/>
          <w:u w:val="single"/>
        </w:rPr>
        <w:t xml:space="preserve"> </w:t>
      </w:r>
      <w:r>
        <w:rPr>
          <w:rFonts w:ascii="Times New Roman;serif" w:hAnsi="Times New Roman;serif"/>
          <w:b/>
          <w:color w:val="000000"/>
          <w:sz w:val="24"/>
          <w:u w:val="single"/>
        </w:rPr>
        <w:t>Written</w:t>
      </w:r>
      <w:r>
        <w:rPr>
          <w:color w:val="000000"/>
          <w:u w:val="single"/>
        </w:rPr>
        <w:t xml:space="preserve"> </w:t>
      </w:r>
      <w:r>
        <w:rPr>
          <w:rFonts w:ascii="Times New Roman;serif" w:hAnsi="Times New Roman;serif"/>
          <w:b/>
          <w:color w:val="000000"/>
          <w:sz w:val="24"/>
          <w:u w:val="single"/>
        </w:rPr>
        <w:t>Consent</w:t>
      </w:r>
      <w:r>
        <w:rPr>
          <w:color w:val="000000"/>
          <w:u w:val="single"/>
        </w:rPr>
        <w:t xml:space="preserve"> </w:t>
      </w:r>
      <w:r>
        <w:rPr>
          <w:rFonts w:ascii="Times New Roman;serif" w:hAnsi="Times New Roman;serif"/>
          <w:b/>
          <w:color w:val="000000"/>
          <w:sz w:val="24"/>
          <w:u w:val="single"/>
        </w:rPr>
        <w:t>Without</w:t>
      </w:r>
      <w:r>
        <w:rPr>
          <w:color w:val="000000"/>
          <w:u w:val="single"/>
        </w:rPr>
        <w:t xml:space="preserve"> </w:t>
      </w:r>
      <w:r>
        <w:rPr>
          <w:rFonts w:ascii="Times New Roman;serif" w:hAnsi="Times New Roman;serif"/>
          <w:b/>
          <w:color w:val="000000"/>
          <w:sz w:val="24"/>
          <w:u w:val="single"/>
        </w:rPr>
        <w:t>A</w:t>
      </w:r>
      <w:r>
        <w:rPr>
          <w:color w:val="000000"/>
          <w:u w:val="single"/>
        </w:rPr>
        <w:t xml:space="preserve"> </w:t>
      </w:r>
      <w:r>
        <w:rPr>
          <w:rFonts w:ascii="Times New Roman;serif" w:hAnsi="Times New Roman;serif"/>
          <w:b/>
          <w:color w:val="000000"/>
          <w:sz w:val="24"/>
          <w:u w:val="single"/>
        </w:rPr>
        <w:t>Meeting</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After an action is taken, the writing or writings or electronic transmission or transmissions shall be filed with the minutes of proceedings of 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filing</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paper</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minutes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paper form and shall be in electronic form if the minutes are maintained in electronic form.</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copy,</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reliable</w:t>
      </w:r>
      <w:r>
        <w:rPr>
          <w:color w:val="000000"/>
        </w:rPr>
        <w:t xml:space="preserve"> </w:t>
      </w:r>
      <w:r>
        <w:rPr>
          <w:rFonts w:ascii="Times New Roman;serif" w:hAnsi="Times New Roman;serif"/>
          <w:b w:val="false"/>
          <w:color w:val="000000"/>
          <w:sz w:val="24"/>
        </w:rPr>
        <w:t>reproduction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 substituted or used in lieu of the original writing for any and all purposes for which the original writing could be used, provided that such copy, facsimile or other reproduction shall be a complete reproduction of the entire original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3.11    </w:t>
      </w:r>
      <w:r>
        <w:rPr>
          <w:rFonts w:ascii="Times New Roman;serif" w:hAnsi="Times New Roman;serif"/>
          <w:b/>
          <w:color w:val="000000"/>
          <w:sz w:val="24"/>
          <w:u w:val="single"/>
        </w:rPr>
        <w:t>Fees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Compensation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the Board of Directors shall have the authority to fix the compensation of directors.</w:t>
      </w:r>
      <w:r>
        <w:rPr>
          <w:color w:val="000000"/>
        </w:rPr>
        <w:t xml:space="preserve"> </w:t>
      </w:r>
      <w:r>
        <w:rPr>
          <w:rFonts w:ascii="Times New Roman;serif" w:hAnsi="Times New Roman;serif"/>
          <w:b w:val="false"/>
          <w:color w:val="000000"/>
          <w:sz w:val="24"/>
        </w:rPr>
        <w:t xml:space="preserve">No such compensation shall preclude any director from serving the corporation in any other capacity and receiving compensation therefor.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3.12    </w:t>
      </w:r>
      <w:r>
        <w:rPr>
          <w:rFonts w:ascii="Times New Roman;serif" w:hAnsi="Times New Roman;serif"/>
          <w:b/>
          <w:color w:val="000000"/>
          <w:sz w:val="24"/>
          <w:u w:val="single"/>
        </w:rPr>
        <w:t>Removal Of Directors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Unless otherwise restricted by law, by the certificate of incorporation or by these Bylaws, any director or the entire Board of Directors may be removed only for cause by the holders of a majority of the shares then entitled to vote at an election of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reduction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of removing any director prior to the expiration of such director’s term of office.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3.13    </w:t>
      </w:r>
      <w:r>
        <w:rPr>
          <w:rFonts w:ascii="Times New Roman;serif" w:hAnsi="Times New Roman;serif"/>
          <w:b/>
          <w:color w:val="000000"/>
          <w:sz w:val="24"/>
          <w:u w:val="single"/>
        </w:rPr>
        <w:t>Chairperson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The</w:t>
      </w:r>
      <w:r>
        <w:rPr>
          <w:color w:val="000000"/>
          <w:u w:val="single"/>
        </w:rPr>
        <w:t xml:space="preserve"> </w:t>
      </w:r>
      <w:r>
        <w:rPr>
          <w:rFonts w:ascii="Times New Roman;serif" w:hAnsi="Times New Roman;serif"/>
          <w:b/>
          <w:color w:val="000000"/>
          <w:sz w:val="24"/>
          <w:u w:val="single"/>
        </w:rPr>
        <w:t>Board</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corporation may also have, at the discretion of the Board of Directors, a chairperson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considered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3.14    </w:t>
      </w:r>
      <w:r>
        <w:rPr>
          <w:rFonts w:ascii="Times New Roman;serif" w:hAnsi="Times New Roman;serif"/>
          <w:b/>
          <w:color w:val="000000"/>
          <w:sz w:val="24"/>
          <w:u w:val="single"/>
        </w:rPr>
        <w:t>Lead Independent Director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The</w:t>
      </w:r>
      <w:r>
        <w:rPr>
          <w:color w:val="000000"/>
          <w:u w:val="single"/>
        </w:rPr>
        <w:t xml:space="preserve"> </w:t>
      </w:r>
      <w:r>
        <w:rPr>
          <w:rFonts w:ascii="Times New Roman;serif" w:hAnsi="Times New Roman;serif"/>
          <w:b/>
          <w:color w:val="000000"/>
          <w:sz w:val="24"/>
          <w:u w:val="single"/>
        </w:rPr>
        <w:t>Board</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the chairperson of the Board does not qualify as independent in accordance with the applicable rules of any securities exchanges upon which the corporation’s securities are listed, the independent directors shall appoint a Lead Independent Director. The Lead Independent Director shall be one of the directors who has been determined by the Board to be an “independent director”. The Lead Independent Director, if any, shall preside at all executive sessions of the Board of Directors and any other meeting of the Board of Directors at which the chairperson of the Board is not present and have such other responsibilities, and perform such duties, as may from time to time be assigned to him or her by the Board of Directors.</w:t>
      </w:r>
    </w:p>
    <w:p>
      <w:pPr>
        <w:pStyle w:val="TextBody"/>
        <w:bidi w:val="0"/>
        <w:spacing w:lineRule="auto" w:line="288"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br/>
        <w:t>COMMITTEES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4.1    </w:t>
      </w:r>
      <w:r>
        <w:rPr>
          <w:rFonts w:ascii="Times New Roman;serif" w:hAnsi="Times New Roman;serif"/>
          <w:b/>
          <w:color w:val="000000"/>
          <w:sz w:val="24"/>
          <w:u w:val="single"/>
        </w:rPr>
        <w:t>Committees</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Board of Directors may designate one or more committees, each committee to</w:t>
      </w:r>
      <w:r>
        <w:rPr>
          <w:color w:val="000000"/>
        </w:rPr>
        <w:t xml:space="preserve"> </w:t>
      </w:r>
      <w:r>
        <w:rPr>
          <w:rFonts w:ascii="Times New Roman;serif" w:hAnsi="Times New Roman;serif"/>
          <w:b w:val="false"/>
          <w:color w:val="000000"/>
          <w:sz w:val="24"/>
        </w:rPr>
        <w:t>consist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 Directors may</w:t>
      </w:r>
      <w:r>
        <w:rPr>
          <w:color w:val="000000"/>
        </w:rPr>
        <w:t xml:space="preserve"> </w:t>
      </w:r>
      <w:r>
        <w:rPr>
          <w:rFonts w:ascii="Times New Roman;serif" w:hAnsi="Times New Roman;serif"/>
          <w:b w:val="false"/>
          <w:color w:val="000000"/>
          <w:sz w:val="24"/>
        </w:rPr>
        <w:t>designate</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 directors as alternate members of any committee, who may replace any absent or disqualified member at any meeting of the committee.</w:t>
      </w:r>
      <w:r>
        <w:rPr>
          <w:color w:val="000000"/>
        </w:rPr>
        <w:t xml:space="preserve"> </w:t>
      </w:r>
      <w:r>
        <w:rPr>
          <w:rFonts w:ascii="Times New Roman;serif" w:hAnsi="Times New Roman;serif"/>
          <w:b w:val="false"/>
          <w:color w:val="000000"/>
          <w:sz w:val="24"/>
        </w:rPr>
        <w:t>In the absence or disqualification of a member of a committee, the member or members present at any meeting and not disqualified from voting, whether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member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members</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quorum,</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unanimously</w:t>
      </w:r>
      <w:r>
        <w:rPr>
          <w:color w:val="000000"/>
        </w:rPr>
        <w:t xml:space="preserve"> </w:t>
      </w:r>
      <w:r>
        <w:rPr>
          <w:rFonts w:ascii="Times New Roman;serif" w:hAnsi="Times New Roman;serif"/>
          <w:b w:val="false"/>
          <w:color w:val="000000"/>
          <w:sz w:val="24"/>
        </w:rPr>
        <w:t>appoint</w:t>
      </w:r>
      <w:r>
        <w:rPr>
          <w:color w:val="000000"/>
        </w:rPr>
        <w:t xml:space="preserve"> </w:t>
      </w:r>
      <w:r>
        <w:rPr>
          <w:rFonts w:ascii="Times New Roman;serif" w:hAnsi="Times New Roman;serif"/>
          <w:b w:val="false"/>
          <w:color w:val="000000"/>
          <w:sz w:val="24"/>
        </w:rPr>
        <w:t>another member of the Board of Directors to act at the meeting in the place of any such absent or disqualified member.</w:t>
      </w:r>
      <w:r>
        <w:rPr>
          <w:color w:val="000000"/>
        </w:rPr>
        <w:t xml:space="preserve"> </w:t>
      </w:r>
      <w:r>
        <w:rPr>
          <w:rFonts w:ascii="Times New Roman;serif" w:hAnsi="Times New Roman;serif"/>
          <w:b w:val="false"/>
          <w:color w:val="000000"/>
          <w:sz w:val="24"/>
        </w:rPr>
        <w:t>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w:t>
      </w:r>
      <w:r>
        <w:rPr>
          <w:color w:val="000000"/>
        </w:rPr>
        <w:t xml:space="preserve"> </w:t>
      </w:r>
      <w:r>
        <w:rPr>
          <w:rFonts w:ascii="Times New Roman;serif" w:hAnsi="Times New Roman;serif"/>
          <w:b w:val="false"/>
          <w:color w:val="000000"/>
          <w:sz w:val="24"/>
        </w:rPr>
        <w:t>it; but no such committee shall have the power or authority in reference to the following matters:</w:t>
      </w:r>
      <w:r>
        <w:rPr>
          <w:color w:val="000000"/>
        </w:rPr>
        <w:t xml:space="preserve"> </w:t>
      </w:r>
      <w:r>
        <w:rPr>
          <w:rFonts w:ascii="Times New Roman;serif" w:hAnsi="Times New Roman;serif"/>
          <w:b w:val="false"/>
          <w:color w:val="000000"/>
          <w:sz w:val="24"/>
        </w:rPr>
        <w:t>(i) approving or</w:t>
      </w:r>
      <w:r>
        <w:rPr>
          <w:color w:val="000000"/>
        </w:rPr>
        <w:t xml:space="preserve"> </w:t>
      </w:r>
      <w:r>
        <w:rPr>
          <w:rFonts w:ascii="Times New Roman;serif" w:hAnsi="Times New Roman;serif"/>
          <w:b w:val="false"/>
          <w:color w:val="000000"/>
          <w:sz w:val="24"/>
        </w:rPr>
        <w:t>adopting,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recommending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(other than the election or removal of directors) expressly</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DGCL to be submitted to stockholders for approval or (ii)</w:t>
      </w:r>
      <w:r>
        <w:rPr>
          <w:color w:val="000000"/>
        </w:rPr>
        <w:t xml:space="preserve"> </w:t>
      </w:r>
      <w:r>
        <w:rPr>
          <w:rFonts w:ascii="Times New Roman;serif" w:hAnsi="Times New Roman;serif"/>
          <w:b w:val="false"/>
          <w:color w:val="000000"/>
          <w:sz w:val="24"/>
        </w:rPr>
        <w:t>adopting,</w:t>
      </w:r>
      <w:r>
        <w:rPr>
          <w:color w:val="000000"/>
        </w:rPr>
        <w:t xml:space="preserve"> </w:t>
      </w:r>
      <w:r>
        <w:rPr>
          <w:rFonts w:ascii="Times New Roman;serif" w:hAnsi="Times New Roman;serif"/>
          <w:b w:val="false"/>
          <w:color w:val="000000"/>
          <w:sz w:val="24"/>
        </w:rPr>
        <w:t>amending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repealing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Bylaw</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4.2    </w:t>
      </w:r>
      <w:r>
        <w:rPr>
          <w:rFonts w:ascii="Times New Roman;serif" w:hAnsi="Times New Roman;serif"/>
          <w:b/>
          <w:color w:val="000000"/>
          <w:sz w:val="24"/>
          <w:u w:val="single"/>
        </w:rPr>
        <w:t>Committee</w:t>
      </w:r>
      <w:r>
        <w:rPr>
          <w:color w:val="000000"/>
          <w:u w:val="single"/>
        </w:rPr>
        <w:t xml:space="preserve"> </w:t>
      </w:r>
      <w:r>
        <w:rPr>
          <w:rFonts w:ascii="Times New Roman;serif" w:hAnsi="Times New Roman;serif"/>
          <w:b/>
          <w:color w:val="000000"/>
          <w:sz w:val="24"/>
          <w:u w:val="single"/>
        </w:rPr>
        <w:t>Minutes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keep</w:t>
      </w:r>
      <w:r>
        <w:rPr>
          <w:color w:val="000000"/>
        </w:rPr>
        <w:t xml:space="preserve"> </w:t>
      </w:r>
      <w:r>
        <w:rPr>
          <w:rFonts w:ascii="Times New Roman;serif" w:hAnsi="Times New Roman;serif"/>
          <w:b w:val="false"/>
          <w:color w:val="000000"/>
          <w:sz w:val="24"/>
        </w:rPr>
        <w:t>regular</w:t>
      </w:r>
      <w:r>
        <w:rPr>
          <w:color w:val="000000"/>
        </w:rPr>
        <w:t xml:space="preserve"> </w:t>
      </w:r>
      <w:r>
        <w:rPr>
          <w:rFonts w:ascii="Times New Roman;serif" w:hAnsi="Times New Roman;serif"/>
          <w:b w:val="false"/>
          <w:color w:val="000000"/>
          <w:sz w:val="24"/>
        </w:rPr>
        <w:t>minutes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meetings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report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to the Board of Directors when required.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4.3    </w:t>
      </w:r>
      <w:r>
        <w:rPr>
          <w:rFonts w:ascii="Times New Roman;serif" w:hAnsi="Times New Roman;serif"/>
          <w:b/>
          <w:color w:val="000000"/>
          <w:sz w:val="24"/>
          <w:u w:val="single"/>
        </w:rPr>
        <w:t>Meetings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Action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Committees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w:t>
      </w:r>
      <w:r>
        <w:rPr>
          <w:color w:val="000000"/>
        </w:rPr>
        <w:t xml:space="preserve"> </w:t>
      </w:r>
      <w:r>
        <w:rPr>
          <w:rFonts w:ascii="Times New Roman;serif" w:hAnsi="Times New Roman;serif"/>
          <w:b w:val="false"/>
          <w:color w:val="000000"/>
          <w:sz w:val="24"/>
        </w:rPr>
        <w:t>meetings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committees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 or by resolution of the committee and that special meetings of committees may also be called by resolution of the Board of Directors.</w:t>
      </w:r>
      <w:r>
        <w:rPr>
          <w:color w:val="000000"/>
        </w:rPr>
        <w:t xml:space="preserve"> </w:t>
      </w:r>
      <w:r>
        <w:rPr>
          <w:rFonts w:ascii="Times New Roman;serif" w:hAnsi="Times New Roman;serif"/>
          <w:b w:val="false"/>
          <w:color w:val="000000"/>
          <w:sz w:val="24"/>
        </w:rPr>
        <w:t>The Board of Directors may adopt rules for the government of any committee not inconsistent with the provisions of these Bylaws.</w:t>
      </w:r>
    </w:p>
    <w:p>
      <w:pPr>
        <w:pStyle w:val="TextBody"/>
        <w:bidi w:val="0"/>
        <w:spacing w:lineRule="auto" w:line="288"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br/>
        <w:t>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5.1    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officers of the corporation shall be a president, a secretary, and a chief financial officer.</w:t>
      </w:r>
      <w:r>
        <w:rPr>
          <w:color w:val="000000"/>
        </w:rPr>
        <w:t xml:space="preserve"> </w:t>
      </w:r>
      <w:r>
        <w:rPr>
          <w:rFonts w:ascii="Times New Roman;serif" w:hAnsi="Times New Roman;serif"/>
          <w:b w:val="false"/>
          <w:color w:val="000000"/>
          <w:sz w:val="24"/>
        </w:rPr>
        <w:t>The corporation may also have, at the discretion of the Board of Directors, a chief executive officer, one or more vice presidents, a treasurer, one or more assistant secretaries, one or more</w:t>
      </w:r>
      <w:r>
        <w:rPr>
          <w:color w:val="000000"/>
        </w:rPr>
        <w:t xml:space="preserve"> </w:t>
      </w:r>
      <w:r>
        <w:rPr>
          <w:rFonts w:ascii="Times New Roman;serif" w:hAnsi="Times New Roman;serif"/>
          <w:b w:val="false"/>
          <w:color w:val="000000"/>
          <w:sz w:val="24"/>
        </w:rPr>
        <w:t>assistant</w:t>
      </w:r>
      <w:r>
        <w:rPr>
          <w:color w:val="000000"/>
        </w:rPr>
        <w:t xml:space="preserve"> </w:t>
      </w:r>
      <w:r>
        <w:rPr>
          <w:rFonts w:ascii="Times New Roman;serif" w:hAnsi="Times New Roman;serif"/>
          <w:b w:val="false"/>
          <w:color w:val="000000"/>
          <w:sz w:val="24"/>
        </w:rPr>
        <w:t>treasurers,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 xml:space="preserve">any such other officers as may be appointed in accordance with the provisions of Section 5.3 of these Bylaws. Any number of offices may be held by the same person.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5.2    </w:t>
      </w:r>
      <w:r>
        <w:rPr>
          <w:rFonts w:ascii="Times New Roman;serif" w:hAnsi="Times New Roman;serif"/>
          <w:b/>
          <w:color w:val="000000"/>
          <w:sz w:val="24"/>
          <w:u w:val="single"/>
        </w:rPr>
        <w:t>Appointment</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officers of the corporation, except such officers as may be appointed in 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5.3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5.5</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appointed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5.3    </w:t>
      </w:r>
      <w:r>
        <w:rPr>
          <w:rFonts w:ascii="Times New Roman;serif" w:hAnsi="Times New Roman;serif"/>
          <w:b/>
          <w:color w:val="000000"/>
          <w:sz w:val="24"/>
          <w:u w:val="single"/>
        </w:rPr>
        <w:t>Subordinate</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Board of Directors may appoint, or empower the chief executive officer or the president to appoint, such other officers and agents as the business of the corporation may require,</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hold</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such duties as are provided in these Bylaws or as the Board of Directors or, if applicable, the chief executive officer or president may from time to time determine.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5.4    </w:t>
      </w:r>
      <w:r>
        <w:rPr>
          <w:rFonts w:ascii="Times New Roman;serif" w:hAnsi="Times New Roman;serif"/>
          <w:b/>
          <w:color w:val="000000"/>
          <w:sz w:val="24"/>
          <w:u w:val="single"/>
        </w:rPr>
        <w:t>Removal</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Resignation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contract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any officer may be removed, either with or without cause, by 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or, 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 officer chosen by the Board of Directors, by any officer upon whom the power of removal is conferred by the Board of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resign</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Any resignation shall take effect at the date of the receipt of that notice or at any later time specified in that notice; and, unless otherwise specified in that notice, the acceptance of the resignation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resignation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prejudice</w:t>
      </w:r>
      <w:r>
        <w:rPr>
          <w:color w:val="000000"/>
        </w:rPr>
        <w:t xml:space="preserve"> </w:t>
      </w:r>
      <w:r>
        <w:rPr>
          <w:rFonts w:ascii="Times New Roman;serif" w:hAnsi="Times New Roman;serif"/>
          <w:b w:val="false"/>
          <w:color w:val="000000"/>
          <w:sz w:val="24"/>
        </w:rPr>
        <w:t>to the rights, if any, of the corporation under any contract to which the officer is a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5.5    </w:t>
      </w:r>
      <w:r>
        <w:rPr>
          <w:rFonts w:ascii="Times New Roman;serif" w:hAnsi="Times New Roman;serif"/>
          <w:b/>
          <w:color w:val="000000"/>
          <w:sz w:val="24"/>
          <w:u w:val="single"/>
        </w:rPr>
        <w:t>Vacancies</w:t>
      </w:r>
      <w:r>
        <w:rPr>
          <w:color w:val="000000"/>
          <w:u w:val="single"/>
        </w:rPr>
        <w:t xml:space="preserve"> </w:t>
      </w:r>
      <w:r>
        <w:rPr>
          <w:rFonts w:ascii="Times New Roman;serif" w:hAnsi="Times New Roman;serif"/>
          <w:b/>
          <w:color w:val="000000"/>
          <w:sz w:val="24"/>
          <w:u w:val="single"/>
        </w:rPr>
        <w:t>In</w:t>
      </w:r>
      <w:r>
        <w:rPr>
          <w:color w:val="000000"/>
          <w:u w:val="single"/>
        </w:rPr>
        <w:t xml:space="preserve"> </w:t>
      </w:r>
      <w:r>
        <w:rPr>
          <w:rFonts w:ascii="Times New Roman;serif" w:hAnsi="Times New Roman;serif"/>
          <w:b/>
          <w:color w:val="000000"/>
          <w:sz w:val="24"/>
          <w:u w:val="single"/>
        </w:rPr>
        <w:t>Offices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vacancy</w:t>
      </w:r>
      <w:r>
        <w:rPr>
          <w:color w:val="000000"/>
        </w:rPr>
        <w:t xml:space="preserve"> </w:t>
      </w:r>
      <w:r>
        <w:rPr>
          <w:rFonts w:ascii="Times New Roman;serif" w:hAnsi="Times New Roman;serif"/>
          <w:b w:val="false"/>
          <w:color w:val="000000"/>
          <w:sz w:val="24"/>
        </w:rPr>
        <w:t>occurring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filled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5.6    </w:t>
      </w:r>
      <w:r>
        <w:rPr>
          <w:rFonts w:ascii="Times New Roman;serif" w:hAnsi="Times New Roman;serif"/>
          <w:b/>
          <w:color w:val="000000"/>
          <w:sz w:val="24"/>
          <w:u w:val="single"/>
        </w:rPr>
        <w:t>Chief</w:t>
      </w:r>
      <w:r>
        <w:rPr>
          <w:color w:val="000000"/>
          <w:u w:val="single"/>
        </w:rPr>
        <w:t xml:space="preserve"> </w:t>
      </w:r>
      <w:r>
        <w:rPr>
          <w:rFonts w:ascii="Times New Roman;serif" w:hAnsi="Times New Roman;serif"/>
          <w:b/>
          <w:color w:val="000000"/>
          <w:sz w:val="24"/>
          <w:u w:val="single"/>
        </w:rPr>
        <w:t>Executive</w:t>
      </w:r>
      <w:r>
        <w:rPr>
          <w:color w:val="000000"/>
          <w:u w:val="single"/>
        </w:rPr>
        <w:t xml:space="preserve"> </w:t>
      </w:r>
      <w:r>
        <w:rPr>
          <w:rFonts w:ascii="Times New Roman;serif" w:hAnsi="Times New Roman;serif"/>
          <w:b/>
          <w:color w:val="000000"/>
          <w:sz w:val="24"/>
          <w:u w:val="single"/>
        </w:rPr>
        <w:t>Officer</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 to such supervisory powers, if any, as may be given by the Board of Directors to the chairperson of the board, if any, the chief executive officer of the corporation (if such an officer is appointed) shall, subject to the control of the Board of Directors, have general supervision, direction, and control of the business and the officers of the corporation and shall 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powers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usually</w:t>
      </w:r>
      <w:r>
        <w:rPr>
          <w:color w:val="000000"/>
        </w:rPr>
        <w:t xml:space="preserve"> </w:t>
      </w:r>
      <w:r>
        <w:rPr>
          <w:rFonts w:ascii="Times New Roman;serif" w:hAnsi="Times New Roman;serif"/>
          <w:b w:val="false"/>
          <w:color w:val="000000"/>
          <w:sz w:val="24"/>
        </w:rPr>
        <w:t>vested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 officer of a corporation and shall have such other powers and duties as may be prescribed by the Board of Directors or these Bylaws.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of the corporation whenever no other person is then serving in such capacity.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5.7    </w:t>
      </w:r>
      <w:r>
        <w:rPr>
          <w:rFonts w:ascii="Times New Roman;serif" w:hAnsi="Times New Roman;serif"/>
          <w:b/>
          <w:color w:val="000000"/>
          <w:sz w:val="24"/>
          <w:u w:val="single"/>
        </w:rPr>
        <w:t>President</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 to such supervisory powers, if any, as may be given by the Board of Directors to the chairperson of the board (if any) or the chief executive officer, the president shall have general supervision, direction, and control of the business and other officers of the corporation.</w:t>
      </w:r>
      <w:r>
        <w:rPr>
          <w:color w:val="000000"/>
        </w:rPr>
        <w:t xml:space="preserve"> </w:t>
      </w:r>
      <w:r>
        <w:rPr>
          <w:rFonts w:ascii="Times New Roman;serif" w:hAnsi="Times New Roman;serif"/>
          <w:b w:val="false"/>
          <w:color w:val="000000"/>
          <w:sz w:val="24"/>
        </w:rPr>
        <w:t>He or she shall have the general powers and duties of management usually vested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powers and</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prescribed by the Board of Directors, the chief executive officer or these Bylaws.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of the corporation whenever no other person is then serving in such capacity.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5.8    </w:t>
      </w:r>
      <w:r>
        <w:rPr>
          <w:rFonts w:ascii="Times New Roman;serif" w:hAnsi="Times New Roman;serif"/>
          <w:b/>
          <w:color w:val="000000"/>
          <w:sz w:val="24"/>
          <w:u w:val="single"/>
        </w:rPr>
        <w:t>Vice</w:t>
      </w:r>
      <w:r>
        <w:rPr>
          <w:color w:val="000000"/>
          <w:u w:val="single"/>
        </w:rPr>
        <w:t xml:space="preserve"> </w:t>
      </w:r>
      <w:r>
        <w:rPr>
          <w:rFonts w:ascii="Times New Roman;serif" w:hAnsi="Times New Roman;serif"/>
          <w:b/>
          <w:color w:val="000000"/>
          <w:sz w:val="24"/>
          <w:u w:val="single"/>
        </w:rPr>
        <w:t>Presidents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the absence or disability of the chief executive officer and president, the vice presidents, if any, in order of their rank as fixed by the Board of Directors or, if not ranked, a vice</w:t>
      </w:r>
      <w:r>
        <w:rPr>
          <w:color w:val="000000"/>
        </w:rPr>
        <w:t xml:space="preserve"> </w:t>
      </w:r>
      <w:r>
        <w:rPr>
          <w:rFonts w:ascii="Times New Roman;serif" w:hAnsi="Times New Roman;serif"/>
          <w:b w:val="false"/>
          <w:color w:val="000000"/>
          <w:sz w:val="24"/>
        </w:rPr>
        <w:t>president</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president and when so acting shall have all the powers of, and be subject to all the restrictions upon, the president.</w:t>
      </w:r>
      <w:r>
        <w:rPr>
          <w:color w:val="000000"/>
        </w:rPr>
        <w:t xml:space="preserve"> </w:t>
      </w:r>
      <w:r>
        <w:rPr>
          <w:rFonts w:ascii="Times New Roman;serif" w:hAnsi="Times New Roman;serif"/>
          <w:b w:val="false"/>
          <w:color w:val="000000"/>
          <w:sz w:val="24"/>
        </w:rPr>
        <w:t>The vice presidents shall have such other powers and perform such other duties as from time to time may be prescribed for them respectively by the Board of Directors, these Bylaws, the chief executive officer or the president.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5.9    </w:t>
      </w:r>
      <w:r>
        <w:rPr>
          <w:rFonts w:ascii="Times New Roman;serif" w:hAnsi="Times New Roman;serif"/>
          <w:b/>
          <w:color w:val="000000"/>
          <w:sz w:val="24"/>
          <w:u w:val="single"/>
        </w:rPr>
        <w:t>Secretary</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secretary shall keep or cause to be kept a record of</w:t>
      </w:r>
      <w:r>
        <w:rPr>
          <w:color w:val="000000"/>
        </w:rPr>
        <w:t xml:space="preserve"> </w:t>
      </w:r>
      <w:r>
        <w:rPr>
          <w:rFonts w:ascii="Times New Roman;serif" w:hAnsi="Times New Roman;serif"/>
          <w:b w:val="false"/>
          <w:color w:val="000000"/>
          <w:sz w:val="24"/>
        </w:rPr>
        <w:t>all meetings and actions of directors, committees of directors, and stockholders.</w:t>
      </w:r>
      <w:r>
        <w:rPr>
          <w:color w:val="000000"/>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addresses,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classes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the number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evidencing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cancellation of every certificate surrendered for cancellation.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secretary shall give, or cause to be given, notice of all meetings of the stockholders and of the Board of Directors required to be given by law or by these Bylaws.</w:t>
      </w:r>
      <w:r>
        <w:rPr>
          <w:color w:val="000000"/>
        </w:rPr>
        <w:t xml:space="preserve"> </w:t>
      </w:r>
      <w:r>
        <w:rPr>
          <w:rFonts w:ascii="Times New Roman;serif" w:hAnsi="Times New Roman;serif"/>
          <w:b w:val="false"/>
          <w:color w:val="000000"/>
          <w:sz w:val="24"/>
        </w:rPr>
        <w:t>He or she shall keep the seal of the corporation, if one be adopted, in safe custody and shall have 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powers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prescribed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 the chief executive officer, the president or by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5.10    </w:t>
      </w:r>
      <w:r>
        <w:rPr>
          <w:rFonts w:ascii="Times New Roman;serif" w:hAnsi="Times New Roman;serif"/>
          <w:b/>
          <w:color w:val="000000"/>
          <w:sz w:val="24"/>
          <w:u w:val="single"/>
        </w:rPr>
        <w:t>Chief</w:t>
      </w:r>
      <w:r>
        <w:rPr>
          <w:color w:val="000000"/>
          <w:u w:val="single"/>
        </w:rPr>
        <w:t xml:space="preserve"> </w:t>
      </w:r>
      <w:r>
        <w:rPr>
          <w:rFonts w:ascii="Times New Roman;serif" w:hAnsi="Times New Roman;serif"/>
          <w:b/>
          <w:color w:val="000000"/>
          <w:sz w:val="24"/>
          <w:u w:val="single"/>
        </w:rPr>
        <w:t>Financial</w:t>
      </w:r>
      <w:r>
        <w:rPr>
          <w:color w:val="000000"/>
          <w:u w:val="single"/>
        </w:rPr>
        <w:t xml:space="preserve"> </w:t>
      </w:r>
      <w:r>
        <w:rPr>
          <w:rFonts w:ascii="Times New Roman;serif" w:hAnsi="Times New Roman;serif"/>
          <w:b/>
          <w:color w:val="000000"/>
          <w:sz w:val="24"/>
          <w:u w:val="single"/>
        </w:rPr>
        <w:t>Officer</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chief financial officer shall keep and maintain, or cause to be kept and maintained, adequate and correct books and records of accounts of the properties and business transactions of the corporation, including accounts of its assets, liabilities, receipts, disbursements,</w:t>
      </w:r>
      <w:r>
        <w:rPr>
          <w:color w:val="000000"/>
        </w:rPr>
        <w:t xml:space="preserve"> </w:t>
      </w:r>
      <w:r>
        <w:rPr>
          <w:rFonts w:ascii="Times New Roman;serif" w:hAnsi="Times New Roman;serif"/>
          <w:b w:val="false"/>
          <w:color w:val="000000"/>
          <w:sz w:val="24"/>
        </w:rPr>
        <w:t>gains,</w:t>
      </w:r>
      <w:r>
        <w:rPr>
          <w:color w:val="000000"/>
        </w:rPr>
        <w:t xml:space="preserve"> </w:t>
      </w:r>
      <w:r>
        <w:rPr>
          <w:rFonts w:ascii="Times New Roman;serif" w:hAnsi="Times New Roman;serif"/>
          <w:b w:val="false"/>
          <w:color w:val="000000"/>
          <w:sz w:val="24"/>
        </w:rPr>
        <w:t>losses,</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retained</w:t>
      </w:r>
      <w:r>
        <w:rPr>
          <w:color w:val="000000"/>
        </w:rPr>
        <w:t xml:space="preserve"> </w:t>
      </w:r>
      <w:r>
        <w:rPr>
          <w:rFonts w:ascii="Times New Roman;serif" w:hAnsi="Times New Roman;serif"/>
          <w:b w:val="false"/>
          <w:color w:val="000000"/>
          <w:sz w:val="24"/>
        </w:rPr>
        <w:t>earnings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books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at all reasonable times be open to inspection by any member of the Board of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chief financial officer shall render to the chief executive officer, the president, or the Board of Directors, upon request, an account of all his or her transactions as 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He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she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 general powers and duties usually vested in the office of chief financial officer of a corporation and shall have such other powers and perform such other duties as may be prescribed by the Board of Directors the chief executive officer, the president or these Bylaws.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treasurer of the corporation whenever no other person is then serving in such capacity.</w:t>
      </w:r>
      <w:r>
        <w:rPr>
          <w:color w:val="000000"/>
        </w:rPr>
        <w:t xml:space="preserve"> </w:t>
      </w:r>
      <w:r>
        <w:rPr>
          <w:rFonts w:ascii="Times New Roman;serif" w:hAnsi="Times New Roman;serif"/>
          <w:b w:val="false"/>
          <w:color w:val="000000"/>
          <w:sz w:val="24"/>
        </w:rPr>
        <w:t>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5.11    </w:t>
      </w:r>
      <w:r>
        <w:rPr>
          <w:rFonts w:ascii="Times New Roman;serif" w:hAnsi="Times New Roman;serif"/>
          <w:b/>
          <w:color w:val="000000"/>
          <w:sz w:val="24"/>
          <w:u w:val="single"/>
        </w:rPr>
        <w:t>Treasurer</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treasurer shall keep and maintain, or cause to be kept and maintained, adequate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correct</w:t>
      </w:r>
      <w:r>
        <w:rPr>
          <w:color w:val="000000"/>
        </w:rPr>
        <w:t xml:space="preserve"> </w:t>
      </w:r>
      <w:r>
        <w:rPr>
          <w:rFonts w:ascii="Times New Roman;serif" w:hAnsi="Times New Roman;serif"/>
          <w:b w:val="false"/>
          <w:color w:val="000000"/>
          <w:sz w:val="24"/>
        </w:rPr>
        <w:t>books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deposit</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cash management accounts and other investment accounts of the corporation.</w:t>
      </w:r>
      <w:r>
        <w:rPr>
          <w:color w:val="000000"/>
        </w:rPr>
        <w:t xml:space="preserve"> </w:t>
      </w:r>
      <w:r>
        <w:rPr>
          <w:rFonts w:ascii="Times New Roman;serif" w:hAnsi="Times New Roman;serif"/>
          <w:b w:val="false"/>
          <w:color w:val="000000"/>
          <w:sz w:val="24"/>
        </w:rPr>
        <w:t>The books of account shall at all reasonable times be open to inspection by any member of the Board of Directors.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treasurer shall deposit, or cause to be deposited, all moneys and other valuables in the name and to the credit of the corporation with such depositories as may be designated by the Board of Directors.</w:t>
      </w:r>
      <w:r>
        <w:rPr>
          <w:color w:val="000000"/>
        </w:rPr>
        <w:t xml:space="preserve"> </w:t>
      </w:r>
      <w:r>
        <w:rPr>
          <w:rFonts w:ascii="Times New Roman;serif" w:hAnsi="Times New Roman;serif"/>
          <w:b w:val="false"/>
          <w:color w:val="000000"/>
          <w:sz w:val="24"/>
        </w:rPr>
        <w:t>He or she shall disburse the funds of the corporation as 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ordered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 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render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chief executive officer, the president or the Board of Directors, upon request, an account of all his or her transactions as treasurer.</w:t>
      </w:r>
      <w:r>
        <w:rPr>
          <w:color w:val="000000"/>
        </w:rPr>
        <w:t xml:space="preserve"> </w:t>
      </w:r>
      <w:r>
        <w:rPr>
          <w:rFonts w:ascii="Times New Roman;serif" w:hAnsi="Times New Roman;serif"/>
          <w:b w:val="false"/>
          <w:color w:val="000000"/>
          <w:sz w:val="24"/>
        </w:rPr>
        <w:t>He or she shall have the general powers and duties usually vested in the office of treasurer of a corporation and shall have such other powers and perform such other duties as may be prescribed by the Board of Directors the chief executive officer, the president, the chief financial officer or these Bylaws.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treasurer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officer of the corporation whenever no other person is then serving in such capacity.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5.12    </w:t>
      </w:r>
      <w:r>
        <w:rPr>
          <w:rFonts w:ascii="Times New Roman;serif" w:hAnsi="Times New Roman;serif"/>
          <w:b/>
          <w:color w:val="000000"/>
          <w:sz w:val="24"/>
          <w:u w:val="single"/>
        </w:rPr>
        <w:t>Representation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Securities</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Other</w:t>
      </w:r>
      <w:r>
        <w:rPr>
          <w:color w:val="000000"/>
          <w:u w:val="single"/>
        </w:rPr>
        <w:t xml:space="preserve"> </w:t>
      </w:r>
      <w:r>
        <w:rPr>
          <w:rFonts w:ascii="Times New Roman;serif" w:hAnsi="Times New Roman;serif"/>
          <w:b/>
          <w:color w:val="000000"/>
          <w:sz w:val="24"/>
          <w:u w:val="single"/>
        </w:rPr>
        <w:t>Entities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chairperson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securities of, or interests in, any other entity or entities standing in the name of this corporation.</w:t>
      </w:r>
      <w:r>
        <w:rPr>
          <w:color w:val="000000"/>
        </w:rPr>
        <w:t xml:space="preserve"> </w:t>
      </w:r>
      <w:r>
        <w:rPr>
          <w:rFonts w:ascii="Times New Roman;serif" w:hAnsi="Times New Roman;serif"/>
          <w:b w:val="false"/>
          <w:color w:val="000000"/>
          <w:sz w:val="24"/>
        </w:rPr>
        <w:t>The authority granted herein may be exercised either 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do</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proxy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attorney duly executed by the person having such authority.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5.13    </w:t>
      </w:r>
      <w:r>
        <w:rPr>
          <w:rFonts w:ascii="Times New Roman;serif" w:hAnsi="Times New Roman;serif"/>
          <w:b/>
          <w:color w:val="000000"/>
          <w:sz w:val="24"/>
          <w:u w:val="single"/>
        </w:rPr>
        <w:t>Authority</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Duties</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addition to the foregoing authority and duties, all officers of the corporation shall</w:t>
      </w:r>
      <w:r>
        <w:rPr>
          <w:color w:val="000000"/>
        </w:rPr>
        <w:t xml:space="preserve"> </w:t>
      </w:r>
      <w:r>
        <w:rPr>
          <w:rFonts w:ascii="Times New Roman;serif" w:hAnsi="Times New Roman;serif"/>
          <w:b w:val="false"/>
          <w:color w:val="000000"/>
          <w:sz w:val="24"/>
        </w:rPr>
        <w:t>respectively</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 of the corporation as may be designated from time to time by the Board of Directors.</w:t>
      </w:r>
    </w:p>
    <w:p>
      <w:pPr>
        <w:pStyle w:val="TextBody"/>
        <w:bidi w:val="0"/>
        <w:spacing w:lineRule="auto" w:line="288"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br/>
        <w:t>INDEMNIFICATION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color w:val="000000"/>
          <w:u w:val="single"/>
        </w:rPr>
        <w:t xml:space="preserve"> </w:t>
      </w:r>
      <w:r>
        <w:rPr>
          <w:rFonts w:ascii="Times New Roman;serif" w:hAnsi="Times New Roman;serif"/>
          <w:b/>
          <w:color w:val="000000"/>
          <w:sz w:val="24"/>
          <w:u w:val="single"/>
        </w:rPr>
        <w:t>OFFICERS,</w:t>
      </w:r>
      <w:r>
        <w:rPr>
          <w:color w:val="000000"/>
          <w:u w:val="single"/>
        </w:rPr>
        <w:t xml:space="preserve"> </w:t>
      </w:r>
      <w:r>
        <w:rPr>
          <w:rFonts w:ascii="Times New Roman;serif" w:hAnsi="Times New Roman;serif"/>
          <w:b/>
          <w:color w:val="000000"/>
          <w:sz w:val="24"/>
          <w:u w:val="single"/>
        </w:rPr>
        <w:t>EMPLOYEES,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OTHER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6.1    </w:t>
      </w:r>
      <w:r>
        <w:rPr>
          <w:rFonts w:ascii="Times New Roman;serif" w:hAnsi="Times New Roman;serif"/>
          <w:b/>
          <w:color w:val="000000"/>
          <w:sz w:val="24"/>
          <w:u w:val="single"/>
        </w:rPr>
        <w:t>Indemnification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Directors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Officers</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The corporation shall, to the maximum extent and in the manner permitted by the DGCL as it presently exists or may hereafter be amended (but, in the case of any such amendment, only to the extent that such amendment permits the corporation to provide broader indemnification rights than such law permitted the corporation to provide prior to such amendment), indemnify any person who was or is made or is threatened to be made a party or is otherwise involved in any action, suit, arbitration, alternative dispute resolution mechanism, investigation, inquiry, judicial, administrative or legislative hearing, or any other threatened, pending or completed proceeding, whether of a civil, criminal, administrative, legislative, investigative or other nature (a “proceeding”), by reason of the fact that such person is or was a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director or officer of the corporation, or, while serving as a director or officer of the corporation, is or was serving at the request of the corporation as a director, officer, employee or agent of another corporation, partnership, joint venture, trust, employee benefit plan or other enterprise (an “indemnitee”), whether the basis of such proceeding is alleged action in an official capacity as a director or officer of the corporation or in any other capacity while serving as a director or officer of the corporation, against expenses (including attorneys’ fees), judgments, fines, settlements and other amounts actually and reasonably incurred by such indemnitee in connection such proceeding; provided, however, that the corporation will not be required to indemnify any indemnitee in connection with any proceeding (or part thereof) initiated by such indemnitee unless (i) the proceeding (or part thereof) was authorized by the Board of Directors or (ii) the proceeding (or part thereof) is initiated to enforce rights to indemnification or advancement of expenses as provided under Section 6.4 below or is a compulsory counterclaim brought by such indemnitee. Any reference to an officer of the Corporation in this Section Article VI shall be deemed to refer exclusively to the chief executive officer, president, chief financial officer, secretary, treasurer, and any other officer of the Corporation (including a vice president) elected or appointed as such by the Board of Directors pursuant to Section 5.2 of these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6.2    </w:t>
      </w:r>
      <w:r>
        <w:rPr>
          <w:rFonts w:ascii="Times New Roman;serif" w:hAnsi="Times New Roman;serif"/>
          <w:b/>
          <w:color w:val="000000"/>
          <w:sz w:val="24"/>
          <w:u w:val="single"/>
        </w:rPr>
        <w:t>Indemnification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Others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corporation shall have the power, to the maximum extent and in the manner permitted by the DGCL, to indemnify and advance expenses to each of its employees and agents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officers). For purposes of this Section 6.2, an “employee” or “agent” of the corporation (other than a director or officer) includes any person (a) who is or was an employee or agent of the corporation,</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 of another corporation, partnership, joint venture, trust or other enterprise, or (c) who was an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predecessor</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of another enterprise at the request of such predecessor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6.3    </w:t>
      </w:r>
      <w:r>
        <w:rPr>
          <w:rFonts w:ascii="Times New Roman;serif" w:hAnsi="Times New Roman;serif"/>
          <w:b/>
          <w:color w:val="000000"/>
          <w:sz w:val="24"/>
          <w:u w:val="single"/>
        </w:rPr>
        <w:t>Payment</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Expenses</w:t>
      </w:r>
      <w:r>
        <w:rPr>
          <w:color w:val="000000"/>
          <w:u w:val="single"/>
        </w:rPr>
        <w:t xml:space="preserve"> </w:t>
      </w:r>
      <w:r>
        <w:rPr>
          <w:rFonts w:ascii="Times New Roman;serif" w:hAnsi="Times New Roman;serif"/>
          <w:b/>
          <w:color w:val="000000"/>
          <w:sz w:val="24"/>
          <w:u w:val="single"/>
        </w:rPr>
        <w:t>In</w:t>
      </w:r>
      <w:r>
        <w:rPr>
          <w:color w:val="000000"/>
          <w:u w:val="single"/>
        </w:rPr>
        <w:t xml:space="preserve"> </w:t>
      </w:r>
      <w:r>
        <w:rPr>
          <w:rFonts w:ascii="Times New Roman;serif" w:hAnsi="Times New Roman;serif"/>
          <w:b/>
          <w:color w:val="000000"/>
          <w:sz w:val="24"/>
          <w:u w:val="single"/>
        </w:rPr>
        <w:t>Advance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Expenses incurred by or on behalf of an indemnitee in defending any proceeding 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 the corporation in advance of the final disposition of such action or proceeding upon receipt of</w:t>
      </w:r>
      <w:r>
        <w:rPr>
          <w:color w:val="000000"/>
        </w:rPr>
        <w:t xml:space="preserve"> </w:t>
      </w:r>
      <w:r>
        <w:rPr>
          <w:rFonts w:ascii="Times New Roman;serif" w:hAnsi="Times New Roman;serif"/>
          <w:b w:val="false"/>
          <w:color w:val="000000"/>
          <w:sz w:val="24"/>
        </w:rPr>
        <w:t>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pStyle w:val="TextBody"/>
        <w:bidi w:val="0"/>
        <w:spacing w:lineRule="auto" w:line="288" w:before="0" w:after="240"/>
        <w:ind w:left="0" w:right="0" w:firstLine="720"/>
        <w:jc w:val="both"/>
        <w:rPr/>
      </w:pPr>
      <w:r>
        <w:rPr>
          <w:rFonts w:ascii="Times New Roman;serif" w:hAnsi="Times New Roman;serif"/>
          <w:b w:val="false"/>
          <w:color w:val="000000"/>
          <w:sz w:val="24"/>
        </w:rPr>
        <w:t>6.4    </w:t>
      </w:r>
      <w:r>
        <w:rPr>
          <w:rFonts w:ascii="Times New Roman;serif" w:hAnsi="Times New Roman;serif"/>
          <w:b/>
          <w:color w:val="000000"/>
          <w:sz w:val="24"/>
          <w:u w:val="single"/>
        </w:rPr>
        <w:t>Enforcement</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If a request for indemnification under Section 6.1 is not paid in full by the corporation within sixty (60) days, or if a request for an advancement of expenses under Section 6.3 is not paid in full by the corporation within twenty (20) days, after a written request has been received by the corporation, the indemnitee may at any time thereafter bring suit against the corporation in the Delaware Court of Chancery seeking an adjudication of entitlement to such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Section 145(a) or Section 145(b) of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Section 145(a) or Section 145(b) of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such applicable standard of conduct,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6.5    </w:t>
      </w:r>
      <w:r>
        <w:rPr>
          <w:rFonts w:ascii="Times New Roman;serif" w:hAnsi="Times New Roman;serif"/>
          <w:b/>
          <w:color w:val="000000"/>
          <w:sz w:val="24"/>
          <w:u w:val="single"/>
        </w:rPr>
        <w:t>Nature of Rights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 to indemnification and advancement of expenses provided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Article VI</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exclusive</w:t>
      </w:r>
      <w:r>
        <w:rPr>
          <w:color w:val="000000"/>
        </w:rPr>
        <w:t xml:space="preserve"> </w:t>
      </w:r>
      <w:r>
        <w:rPr>
          <w:rFonts w:ascii="Times New Roman;serif" w:hAnsi="Times New Roman;serif"/>
          <w:b w:val="false"/>
          <w:color w:val="000000"/>
          <w:sz w:val="24"/>
        </w:rPr>
        <w:t>of any other rights which any person may have or hereafter acquire under any law, provision of the certificate of incorporation or these Bylaws, agreement, vote of stockholders or disinterested directors or otherwise. The rights conferred upon indemnitees in this Article VI shall be contract rights and such rights shall continue as to an indemnitee who has ceased to be a director or officer of the corporation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pStyle w:val="TextBody"/>
        <w:bidi w:val="0"/>
        <w:spacing w:lineRule="auto" w:line="288" w:before="0" w:after="240"/>
        <w:ind w:left="0" w:right="0" w:firstLine="720"/>
        <w:jc w:val="both"/>
        <w:rPr/>
      </w:pPr>
      <w:r>
        <w:rPr>
          <w:rFonts w:ascii="Times New Roman;serif" w:hAnsi="Times New Roman;serif"/>
          <w:b w:val="false"/>
          <w:color w:val="000000"/>
          <w:sz w:val="24"/>
        </w:rPr>
        <w:t>6.6    </w:t>
      </w:r>
      <w:r>
        <w:rPr>
          <w:rFonts w:ascii="Times New Roman;serif" w:hAnsi="Times New Roman;serif"/>
          <w:b/>
          <w:color w:val="000000"/>
          <w:sz w:val="24"/>
          <w:u w:val="single"/>
        </w:rPr>
        <w:t>Subrogation</w:t>
      </w:r>
      <w:r>
        <w:rPr>
          <w:rFonts w:ascii="Times New Roman;serif" w:hAnsi="Times New Roman;serif"/>
          <w:b/>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payment under this Article VI, the corporation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execution of such documents necessary to enable the corporation effectively to bring suit to enforce such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6.7    </w:t>
      </w:r>
      <w:r>
        <w:rPr>
          <w:rFonts w:ascii="Times New Roman;serif" w:hAnsi="Times New Roman;serif"/>
          <w:b/>
          <w:color w:val="000000"/>
          <w:sz w:val="24"/>
          <w:u w:val="single"/>
        </w:rPr>
        <w:t>Insurance</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corporation may purchase and maintain insurance on behalf of any person who</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serving</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pStyle w:val="TextBody"/>
        <w:bidi w:val="0"/>
        <w:spacing w:lineRule="auto" w:line="288" w:before="0" w:after="240"/>
        <w:ind w:left="0" w:right="0" w:firstLine="720"/>
        <w:jc w:val="both"/>
        <w:rPr/>
      </w:pPr>
      <w:r>
        <w:rPr>
          <w:rFonts w:ascii="Times New Roman;serif" w:hAnsi="Times New Roman;serif"/>
          <w:b w:val="false"/>
          <w:color w:val="000000"/>
          <w:sz w:val="24"/>
        </w:rPr>
        <w:t>6.8    </w:t>
      </w:r>
      <w:r>
        <w:rPr>
          <w:rFonts w:ascii="Times New Roman;serif" w:hAnsi="Times New Roman;serif"/>
          <w:b/>
          <w:color w:val="000000"/>
          <w:sz w:val="24"/>
          <w:u w:val="single"/>
        </w:rPr>
        <w:t>Conflicts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indemnification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advance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Article VI,</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where such indemnification or advance is mandated by law or the order, judgment or decree of any court of competent jurisdiction, in any circumstance where it appears: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That it would be inconsistent with a provision of the certificate of incorporation,</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 of the accrual of the alleged cause of the action asserted in the proceeding in which the expenses were incurred or other amounts were paid, which prohibits or otherwise limits indemnification;</w:t>
      </w:r>
      <w:r>
        <w:rPr>
          <w:color w:val="000000"/>
        </w:rPr>
        <w:t xml:space="preserve"> </w:t>
      </w:r>
      <w:r>
        <w:rPr>
          <w:rFonts w:ascii="Times New Roman;serif" w:hAnsi="Times New Roman;serif"/>
          <w:b w:val="false"/>
          <w:color w:val="000000"/>
          <w:sz w:val="24"/>
        </w:rPr>
        <w:t>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That</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inconsistent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condition</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 court in approving a settlement.</w:t>
      </w:r>
    </w:p>
    <w:p>
      <w:pPr>
        <w:pStyle w:val="TextBody"/>
        <w:bidi w:val="0"/>
        <w:spacing w:lineRule="auto" w:line="288"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br/>
        <w:t>RECORDS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REPORTS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7.1    </w:t>
      </w:r>
      <w:r>
        <w:rPr>
          <w:rFonts w:ascii="Times New Roman;serif" w:hAnsi="Times New Roman;serif"/>
          <w:b/>
          <w:color w:val="000000"/>
          <w:sz w:val="24"/>
          <w:u w:val="single"/>
        </w:rPr>
        <w:t>Maintenance</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Inspection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Records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place</w:t>
      </w:r>
      <w:r>
        <w:rPr>
          <w:color w:val="000000"/>
        </w:rPr>
        <w:t xml:space="preserve"> </w:t>
      </w:r>
      <w:r>
        <w:rPr>
          <w:rFonts w:ascii="Times New Roman;serif" w:hAnsi="Times New Roman;serif"/>
          <w:b w:val="false"/>
          <w:color w:val="000000"/>
          <w:sz w:val="24"/>
        </w:rPr>
        <w:t>or places as designated by the Board of Directors, keep a record of its stockholders listing their names and addresses and the number and class of shares held by each stockholder, a copy of these Bylaws as amended to date, accounting books, and other records.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books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extracts</w:t>
      </w:r>
      <w:r>
        <w:rPr>
          <w:color w:val="000000"/>
        </w:rPr>
        <w:t xml:space="preserve"> </w:t>
      </w:r>
      <w:r>
        <w:rPr>
          <w:rFonts w:ascii="Times New Roman;serif" w:hAnsi="Times New Roman;serif"/>
          <w:b w:val="false"/>
          <w:color w:val="000000"/>
          <w:sz w:val="24"/>
        </w:rPr>
        <w:t>therefrom.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proper purpose shall mean a purpose reasonably related to such person’s interest as a stockholder.</w:t>
      </w:r>
      <w:r>
        <w:rPr>
          <w:color w:val="000000"/>
        </w:rPr>
        <w:t xml:space="preserve"> </w:t>
      </w:r>
      <w:r>
        <w:rPr>
          <w:rFonts w:ascii="Times New Roman;serif" w:hAnsi="Times New Roman;serif"/>
          <w:b w:val="false"/>
          <w:color w:val="000000"/>
          <w:sz w:val="24"/>
        </w:rPr>
        <w:t xml:space="preserve">In every instance where an attorney or other agent is the person who seeks the right to inspection, the demand under oath shall be accompanied by a power of attorney or such other writing that </w:t>
      </w:r>
    </w:p>
    <w:p>
      <w:pPr>
        <w:pStyle w:val="TextBody"/>
        <w:bidi w:val="0"/>
        <w:spacing w:lineRule="auto" w:line="288" w:before="0" w:after="240"/>
        <w:jc w:val="left"/>
        <w:rPr/>
      </w:pPr>
      <w:r>
        <w:rPr>
          <w:rFonts w:ascii="Times New Roman;serif" w:hAnsi="Times New Roman;serif"/>
          <w:b w:val="false"/>
          <w:color w:val="000000"/>
          <w:sz w:val="24"/>
        </w:rPr>
        <w:t>authorizes the attorney or other agent to so act on behalf of the stockholder.</w:t>
      </w:r>
      <w:r>
        <w:rPr>
          <w:color w:val="000000"/>
        </w:rPr>
        <w:t xml:space="preserve"> </w:t>
      </w:r>
      <w:r>
        <w:rPr>
          <w:rFonts w:ascii="Times New Roman;serif" w:hAnsi="Times New Roman;serif"/>
          <w:b w:val="false"/>
          <w:color w:val="000000"/>
          <w:sz w:val="24"/>
        </w:rPr>
        <w:t>The demand under oath shall be directed to the corporation at its registered office in Delaware or at its principal place of business.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complete list of stockholders entitled to vote at the meeting of the stockholders, arranged in alphabetical order for each class of stock and showing the address of each such stockholder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open to the examination of any such stockholder for a period of at least ten (10) days ending on the day before the date of a meeting of the stockholders in 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provided by law, provided, however, if the record date for determining the stockholders entitled to vote is less than ten (10) days before the date of the meeting, the list shall reflect the stockholders entitled to vote as of the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before the meeting date. Nothing herein shall require the corporation to include electronic mail addresses or other electronic contact information on such list.</w:t>
      </w:r>
      <w:r>
        <w:rPr>
          <w:color w:val="000000"/>
        </w:rPr>
        <w:t xml:space="preserve"> </w:t>
      </w:r>
      <w:r>
        <w:rPr>
          <w:rFonts w:ascii="Times New Roman;serif" w:hAnsi="Times New Roman;serif"/>
          <w:b w:val="false"/>
          <w:color w:val="000000"/>
          <w:sz w:val="24"/>
        </w:rPr>
        <w:t>This list shall presumptively determine the identity of the stockholders entitled to vote</w:t>
      </w:r>
      <w:r>
        <w:rPr>
          <w:color w:val="000000"/>
        </w:rPr>
        <w:t xml:space="preserve"> </w:t>
      </w:r>
      <w:r>
        <w:rPr>
          <w:rFonts w:ascii="Times New Roman;serif" w:hAnsi="Times New Roman;serif"/>
          <w:b w:val="false"/>
          <w:color w:val="000000"/>
          <w:sz w:val="24"/>
        </w:rPr>
        <w:t>at the meeting and the number of shares held by each of them.</w:t>
      </w:r>
    </w:p>
    <w:p>
      <w:pPr>
        <w:pStyle w:val="TextBody"/>
        <w:bidi w:val="0"/>
        <w:spacing w:lineRule="auto" w:line="288" w:before="0" w:after="240"/>
        <w:ind w:left="0" w:right="0" w:firstLine="720"/>
        <w:jc w:val="both"/>
        <w:rPr/>
      </w:pPr>
      <w:r>
        <w:rPr>
          <w:rFonts w:ascii="Times New Roman;serif" w:hAnsi="Times New Roman;serif"/>
          <w:b w:val="false"/>
          <w:color w:val="000000"/>
          <w:sz w:val="24"/>
        </w:rPr>
        <w:t>7.2    </w:t>
      </w:r>
      <w:r>
        <w:rPr>
          <w:rFonts w:ascii="Times New Roman;serif" w:hAnsi="Times New Roman;serif"/>
          <w:b/>
          <w:color w:val="000000"/>
          <w:sz w:val="24"/>
          <w:u w:val="single"/>
        </w:rPr>
        <w:t>Inspection</w:t>
      </w:r>
      <w:r>
        <w:rPr>
          <w:color w:val="000000"/>
          <w:u w:val="single"/>
        </w:rPr>
        <w:t xml:space="preserve"> </w:t>
      </w:r>
      <w:r>
        <w:rPr>
          <w:rFonts w:ascii="Times New Roman;serif" w:hAnsi="Times New Roman;serif"/>
          <w:b/>
          <w:color w:val="000000"/>
          <w:sz w:val="24"/>
          <w:u w:val="single"/>
        </w:rPr>
        <w:t>By</w:t>
      </w:r>
      <w:r>
        <w:rPr>
          <w:color w:val="000000"/>
          <w:u w:val="single"/>
        </w:rPr>
        <w:t xml:space="preserve"> </w:t>
      </w:r>
      <w:r>
        <w:rPr>
          <w:rFonts w:ascii="Times New Roman;serif" w:hAnsi="Times New Roman;serif"/>
          <w:b/>
          <w:color w:val="000000"/>
          <w:sz w:val="24"/>
          <w:u w:val="single"/>
        </w:rPr>
        <w:t>Directors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Any director shall have the right to examine the corporation’s stock ledger, a list of its stockholders, and its other books and records for a purpose reasonably related to his or her position as a director.</w:t>
      </w:r>
      <w:r>
        <w:rPr>
          <w:color w:val="000000"/>
        </w:rPr>
        <w:t xml:space="preserve"> </w:t>
      </w:r>
      <w:r>
        <w:rPr>
          <w:rFonts w:ascii="Times New Roman;serif" w:hAnsi="Times New Roman;serif"/>
          <w:b w:val="false"/>
          <w:color w:val="000000"/>
          <w:sz w:val="24"/>
        </w:rPr>
        <w:t>The Court of Chancery is hereby vested with the exclusive jurisdiction to determine whether a director is entitled to the inspection sought.</w:t>
      </w:r>
      <w:r>
        <w:rPr>
          <w:color w:val="000000"/>
        </w:rPr>
        <w:t xml:space="preserve"> </w:t>
      </w:r>
      <w:r>
        <w:rPr>
          <w:rFonts w:ascii="Times New Roman;serif" w:hAnsi="Times New Roman;serif"/>
          <w:b w:val="false"/>
          <w:color w:val="000000"/>
          <w:sz w:val="24"/>
        </w:rPr>
        <w:t>The Court may summarily order the corporation to permit the director to inspect any and all books and records, the stock ledger, and the stock list and to make copies or extracts therefrom.</w:t>
      </w:r>
      <w:r>
        <w:rPr>
          <w:color w:val="000000"/>
        </w:rPr>
        <w:t xml:space="preserve"> </w:t>
      </w:r>
      <w:r>
        <w:rPr>
          <w:rFonts w:ascii="Times New Roman;serif" w:hAnsi="Times New Roman;serif"/>
          <w:b w:val="false"/>
          <w:color w:val="000000"/>
          <w:sz w:val="24"/>
        </w:rPr>
        <w:t>The Court may, in its discretion,</w:t>
      </w:r>
      <w:r>
        <w:rPr>
          <w:color w:val="000000"/>
        </w:rPr>
        <w:t xml:space="preserve"> </w:t>
      </w:r>
      <w:r>
        <w:rPr>
          <w:rFonts w:ascii="Times New Roman;serif" w:hAnsi="Times New Roman;serif"/>
          <w:b w:val="false"/>
          <w:color w:val="000000"/>
          <w:sz w:val="24"/>
        </w:rPr>
        <w:t>prescribe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reference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inspection,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such other and further relief as the Court may deem just and proper.</w:t>
      </w:r>
    </w:p>
    <w:p>
      <w:pPr>
        <w:pStyle w:val="TextBody"/>
        <w:bidi w:val="0"/>
        <w:spacing w:lineRule="auto" w:line="288" w:before="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br/>
        <w:t>GENERAL</w:t>
      </w:r>
      <w:r>
        <w:rPr>
          <w:color w:val="000000"/>
          <w:u w:val="single"/>
        </w:rPr>
        <w:t xml:space="preserve"> </w:t>
      </w:r>
      <w:r>
        <w:rPr>
          <w:rFonts w:ascii="Times New Roman;serif" w:hAnsi="Times New Roman;serif"/>
          <w:b/>
          <w:color w:val="000000"/>
          <w:sz w:val="24"/>
          <w:u w:val="single"/>
        </w:rPr>
        <w:t>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8.1    </w:t>
      </w:r>
      <w:r>
        <w:rPr>
          <w:rFonts w:ascii="Times New Roman;serif" w:hAnsi="Times New Roman;serif"/>
          <w:b/>
          <w:color w:val="000000"/>
          <w:sz w:val="24"/>
          <w:u w:val="single"/>
        </w:rPr>
        <w:t>Checks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addition to any authority granted pursuant to these Bylaws, 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determine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which person or</w:t>
      </w:r>
      <w:r>
        <w:rPr>
          <w:color w:val="000000"/>
        </w:rPr>
        <w:t xml:space="preserve"> </w:t>
      </w:r>
      <w:r>
        <w:rPr>
          <w:rFonts w:ascii="Times New Roman;serif" w:hAnsi="Times New Roman;serif"/>
          <w:b w:val="false"/>
          <w:color w:val="000000"/>
          <w:sz w:val="24"/>
        </w:rPr>
        <w:t>persons may sign or</w:t>
      </w:r>
      <w:r>
        <w:rPr>
          <w:color w:val="000000"/>
        </w:rPr>
        <w:t xml:space="preserve"> </w:t>
      </w:r>
      <w:r>
        <w:rPr>
          <w:rFonts w:ascii="Times New Roman;serif" w:hAnsi="Times New Roman;serif"/>
          <w:b w:val="false"/>
          <w:color w:val="000000"/>
          <w:sz w:val="24"/>
        </w:rPr>
        <w:t>endorse all checks, drafts, other</w:t>
      </w:r>
      <w:r>
        <w:rPr>
          <w:color w:val="000000"/>
        </w:rPr>
        <w:t xml:space="preserve"> </w:t>
      </w:r>
      <w:r>
        <w:rPr>
          <w:rFonts w:ascii="Times New Roman;serif" w:hAnsi="Times New Roman;serif"/>
          <w:b w:val="false"/>
          <w:color w:val="000000"/>
          <w:sz w:val="24"/>
        </w:rPr>
        <w:t>orders for</w:t>
      </w:r>
      <w:r>
        <w:rPr>
          <w:color w:val="000000"/>
        </w:rPr>
        <w:t xml:space="preserve"> </w:t>
      </w:r>
      <w:r>
        <w:rPr>
          <w:rFonts w:ascii="Times New Roman;serif" w:hAnsi="Times New Roman;serif"/>
          <w:b w:val="false"/>
          <w:color w:val="000000"/>
          <w:sz w:val="24"/>
        </w:rPr>
        <w:t>payment of</w:t>
      </w:r>
      <w:r>
        <w:rPr>
          <w:color w:val="000000"/>
        </w:rPr>
        <w:t xml:space="preserve"> </w:t>
      </w:r>
      <w:r>
        <w:rPr>
          <w:rFonts w:ascii="Times New Roman;serif" w:hAnsi="Times New Roman;serif"/>
          <w:b w:val="false"/>
          <w:color w:val="000000"/>
          <w:sz w:val="24"/>
        </w:rPr>
        <w:t>money, notes or other evidences of indebtedness that are issued in the name of or payable to the corporation, and only the persons so authorized shall sign or endorse those instruments.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8.2    </w:t>
      </w:r>
      <w:r>
        <w:rPr>
          <w:rFonts w:ascii="Times New Roman;serif" w:hAnsi="Times New Roman;serif"/>
          <w:b/>
          <w:color w:val="000000"/>
          <w:sz w:val="24"/>
          <w:u w:val="single"/>
        </w:rPr>
        <w:t>Execution</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Corporate</w:t>
      </w:r>
      <w:r>
        <w:rPr>
          <w:color w:val="000000"/>
          <w:u w:val="single"/>
        </w:rPr>
        <w:t xml:space="preserve"> </w:t>
      </w:r>
      <w:r>
        <w:rPr>
          <w:rFonts w:ascii="Times New Roman;serif" w:hAnsi="Times New Roman;serif"/>
          <w:b/>
          <w:color w:val="000000"/>
          <w:sz w:val="24"/>
          <w:u w:val="single"/>
        </w:rPr>
        <w:t>Contracts</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Instruments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Board of Directors, except as otherwise provided in these Bylaws, may authorize any officer or officers, or agent or agents, to enter into any contract or execute any instrument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behalf</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such authority may be</w:t>
      </w:r>
      <w:r>
        <w:rPr>
          <w:color w:val="000000"/>
        </w:rPr>
        <w:t xml:space="preserve"> </w:t>
      </w:r>
      <w:r>
        <w:rPr>
          <w:rFonts w:ascii="Times New Roman;serif" w:hAnsi="Times New Roman;serif"/>
          <w:b w:val="false"/>
          <w:color w:val="000000"/>
          <w:sz w:val="24"/>
        </w:rPr>
        <w:t>general or confined to specific instances.</w:t>
      </w:r>
      <w:r>
        <w:rPr>
          <w:color w:val="000000"/>
        </w:rPr>
        <w:t xml:space="preserve"> </w:t>
      </w:r>
      <w:r>
        <w:rPr>
          <w:rFonts w:ascii="Times New Roman;serif" w:hAnsi="Times New Roman;serif"/>
          <w:b w:val="false"/>
          <w:color w:val="000000"/>
          <w:sz w:val="24"/>
        </w:rPr>
        <w:t>Unless so authorized or ratified by the Board of Directors or 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agency</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shall have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 xml:space="preserve">or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authority to bind the corporation by any contract or engagement or to pledge its credit or to render it liable for any purpose or for any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8.3    </w:t>
      </w:r>
      <w:r>
        <w:rPr>
          <w:rFonts w:ascii="Times New Roman;serif" w:hAnsi="Times New Roman;serif"/>
          <w:b/>
          <w:color w:val="000000"/>
          <w:sz w:val="24"/>
          <w:u w:val="single"/>
        </w:rPr>
        <w:t>Stock</w:t>
      </w:r>
      <w:r>
        <w:rPr>
          <w:color w:val="000000"/>
          <w:u w:val="single"/>
        </w:rPr>
        <w:t xml:space="preserve"> </w:t>
      </w:r>
      <w:r>
        <w:rPr>
          <w:rFonts w:ascii="Times New Roman;serif" w:hAnsi="Times New Roman;serif"/>
          <w:b/>
          <w:color w:val="000000"/>
          <w:sz w:val="24"/>
          <w:u w:val="single"/>
        </w:rPr>
        <w:t>Certificates;</w:t>
      </w:r>
      <w:r>
        <w:rPr>
          <w:color w:val="000000"/>
          <w:u w:val="single"/>
        </w:rPr>
        <w:t xml:space="preserve"> </w:t>
      </w:r>
      <w:r>
        <w:rPr>
          <w:rFonts w:ascii="Times New Roman;serif" w:hAnsi="Times New Roman;serif"/>
          <w:b/>
          <w:color w:val="000000"/>
          <w:sz w:val="24"/>
          <w:u w:val="single"/>
        </w:rPr>
        <w:t>Partly</w:t>
      </w:r>
      <w:r>
        <w:rPr>
          <w:color w:val="000000"/>
          <w:u w:val="single"/>
        </w:rPr>
        <w:t xml:space="preserve"> </w:t>
      </w:r>
      <w:r>
        <w:rPr>
          <w:rFonts w:ascii="Times New Roman;serif" w:hAnsi="Times New Roman;serif"/>
          <w:b/>
          <w:color w:val="000000"/>
          <w:sz w:val="24"/>
          <w:u w:val="single"/>
        </w:rPr>
        <w:t>Paid</w:t>
      </w:r>
      <w:r>
        <w:rPr>
          <w:color w:val="000000"/>
          <w:u w:val="single"/>
        </w:rPr>
        <w:t xml:space="preserve"> </w:t>
      </w:r>
      <w:r>
        <w:rPr>
          <w:rFonts w:ascii="Times New Roman;serif" w:hAnsi="Times New Roman;serif"/>
          <w:b/>
          <w:color w:val="000000"/>
          <w:sz w:val="24"/>
          <w:u w:val="single"/>
        </w:rPr>
        <w:t>Shares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shares of a corporation shall be represented by certificates, provided that the 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resolutions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some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 any or all classes or series of its stock shall be uncertificated shares.</w:t>
      </w:r>
      <w:r>
        <w:rPr>
          <w:color w:val="000000"/>
        </w:rPr>
        <w:t xml:space="preserve"> </w:t>
      </w:r>
      <w:r>
        <w:rPr>
          <w:rFonts w:ascii="Times New Roman;serif" w:hAnsi="Times New Roman;serif"/>
          <w:b w:val="false"/>
          <w:color w:val="000000"/>
          <w:sz w:val="24"/>
        </w:rPr>
        <w:t>Any such resolution shall not apply to shares represented by a certificate until such certificate is surrendered to the corporation.</w:t>
      </w:r>
      <w:r>
        <w:rPr>
          <w:color w:val="000000"/>
        </w:rPr>
        <w:t xml:space="preserve"> </w:t>
      </w:r>
      <w:r>
        <w:rPr>
          <w:rFonts w:ascii="Times New Roman;serif" w:hAnsi="Times New Roman;serif"/>
          <w:b w:val="false"/>
          <w:color w:val="000000"/>
          <w:sz w:val="24"/>
        </w:rPr>
        <w:t>Any or all of the signatures on the certificate may be a facsimile.</w:t>
      </w:r>
      <w:r>
        <w:rPr>
          <w:color w:val="000000"/>
        </w:rPr>
        <w:t xml:space="preserve"> </w:t>
      </w:r>
      <w:r>
        <w:rPr>
          <w:rFonts w:ascii="Times New Roman;serif" w:hAnsi="Times New Roman;serif"/>
          <w:b w:val="false"/>
          <w:color w:val="000000"/>
          <w:sz w:val="24"/>
        </w:rPr>
        <w:t>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corporation may issue the whole or any part of its shares as partly paid and subject to call for the remainder of the consideration to be paid therefor.</w:t>
      </w:r>
      <w:r>
        <w:rPr>
          <w:color w:val="000000"/>
        </w:rPr>
        <w:t xml:space="preserve"> </w:t>
      </w:r>
      <w:r>
        <w:rPr>
          <w:rFonts w:ascii="Times New Roman;serif" w:hAnsi="Times New Roman;serif"/>
          <w:b w:val="false"/>
          <w:color w:val="000000"/>
          <w:sz w:val="24"/>
        </w:rPr>
        <w:t>Upon the face or back of each stock certificate issued to represent any such partly paid shares, upon the books and records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uncertificated</w:t>
      </w:r>
      <w:r>
        <w:rPr>
          <w:color w:val="000000"/>
        </w:rPr>
        <w:t xml:space="preserve"> </w:t>
      </w:r>
      <w:r>
        <w:rPr>
          <w:rFonts w:ascii="Times New Roman;serif" w:hAnsi="Times New Roman;serif"/>
          <w:b w:val="false"/>
          <w:color w:val="000000"/>
          <w:sz w:val="24"/>
        </w:rPr>
        <w:t>partly</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total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consideration to be paid therefor and the amount paid thereon shall be stated.</w:t>
      </w:r>
      <w:r>
        <w:rPr>
          <w:color w:val="000000"/>
        </w:rPr>
        <w:t xml:space="preserve"> </w:t>
      </w:r>
      <w:r>
        <w:rPr>
          <w:rFonts w:ascii="Times New Roman;serif" w:hAnsi="Times New Roman;serif"/>
          <w:b w:val="false"/>
          <w:color w:val="000000"/>
          <w:sz w:val="24"/>
        </w:rPr>
        <w:t>Upon the declaration of any dividend on fully paid shares, the corporation shall declare a dividend upon partly paid shares of the same class, but only upon the basis of the percentage of the consideration actually paid thereon.</w:t>
      </w:r>
    </w:p>
    <w:p>
      <w:pPr>
        <w:pStyle w:val="TextBody"/>
        <w:bidi w:val="0"/>
        <w:spacing w:lineRule="auto" w:line="288" w:before="0" w:after="240"/>
        <w:ind w:left="0" w:right="0" w:firstLine="720"/>
        <w:jc w:val="both"/>
        <w:rPr/>
      </w:pPr>
      <w:r>
        <w:rPr>
          <w:rFonts w:ascii="Times New Roman;serif" w:hAnsi="Times New Roman;serif"/>
          <w:b w:val="false"/>
          <w:color w:val="000000"/>
          <w:sz w:val="24"/>
        </w:rPr>
        <w:t>8.4    </w:t>
      </w:r>
      <w:r>
        <w:rPr>
          <w:rFonts w:ascii="Times New Roman;serif" w:hAnsi="Times New Roman;serif"/>
          <w:b/>
          <w:color w:val="000000"/>
          <w:sz w:val="24"/>
          <w:u w:val="single"/>
        </w:rPr>
        <w:t>Special</w:t>
      </w:r>
      <w:r>
        <w:rPr>
          <w:color w:val="000000"/>
          <w:u w:val="single"/>
        </w:rPr>
        <w:t xml:space="preserve"> </w:t>
      </w:r>
      <w:r>
        <w:rPr>
          <w:rFonts w:ascii="Times New Roman;serif" w:hAnsi="Times New Roman;serif"/>
          <w:b/>
          <w:color w:val="000000"/>
          <w:sz w:val="24"/>
          <w:u w:val="single"/>
        </w:rPr>
        <w:t>Designation</w:t>
      </w:r>
      <w:r>
        <w:rPr>
          <w:color w:val="000000"/>
          <w:u w:val="single"/>
        </w:rPr>
        <w:t xml:space="preserve"> </w:t>
      </w:r>
      <w:r>
        <w:rPr>
          <w:rFonts w:ascii="Times New Roman;serif" w:hAnsi="Times New Roman;serif"/>
          <w:b/>
          <w:color w:val="000000"/>
          <w:sz w:val="24"/>
          <w:u w:val="single"/>
        </w:rPr>
        <w:t>On</w:t>
      </w:r>
      <w:r>
        <w:rPr>
          <w:color w:val="000000"/>
          <w:u w:val="single"/>
        </w:rPr>
        <w:t xml:space="preserve"> </w:t>
      </w:r>
      <w:r>
        <w:rPr>
          <w:rFonts w:ascii="Times New Roman;serif" w:hAnsi="Times New Roman;serif"/>
          <w:b/>
          <w:color w:val="000000"/>
          <w:sz w:val="24"/>
          <w:u w:val="single"/>
        </w:rPr>
        <w:t>Certificates</w:t>
      </w:r>
      <w:r>
        <w:rPr>
          <w:rFonts w:ascii="Times New Roman;serif" w:hAnsi="Times New Roman;serif"/>
          <w:b/>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w:t>
      </w:r>
      <w:r>
        <w:rPr>
          <w:color w:val="000000"/>
        </w:rPr>
        <w:t xml:space="preserve"> </w:t>
      </w:r>
      <w:r>
        <w:rPr>
          <w:rFonts w:ascii="Times New Roman;serif" w:hAnsi="Times New Roman;serif"/>
          <w:b w:val="false"/>
          <w:color w:val="000000"/>
          <w:sz w:val="24"/>
        </w:rPr>
        <w:t>limitations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restrictions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preferences</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full or</w:t>
      </w:r>
      <w:r>
        <w:rPr>
          <w:color w:val="000000"/>
        </w:rPr>
        <w:t xml:space="preserve"> </w:t>
      </w:r>
      <w:r>
        <w:rPr>
          <w:rFonts w:ascii="Times New Roman;serif" w:hAnsi="Times New Roman;serif"/>
          <w:b w:val="false"/>
          <w:color w:val="000000"/>
          <w:sz w:val="24"/>
        </w:rPr>
        <w:t>summarized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face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back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represent such class or series of stock; provided, however, that, except as otherwise provided in Section 202 of the DGCL, in lieu of the foregoing requirements there may be set forth on the face or back of the certificate that the corporation shall issue to represent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class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series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statement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furnish</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8.5    </w:t>
      </w:r>
      <w:r>
        <w:rPr>
          <w:rFonts w:ascii="Times New Roman;serif" w:hAnsi="Times New Roman;serif"/>
          <w:b/>
          <w:color w:val="000000"/>
          <w:sz w:val="24"/>
          <w:u w:val="single"/>
        </w:rPr>
        <w:t>Lost</w:t>
      </w:r>
      <w:r>
        <w:rPr>
          <w:color w:val="000000"/>
          <w:u w:val="single"/>
        </w:rPr>
        <w:t xml:space="preserve"> </w:t>
      </w:r>
      <w:r>
        <w:rPr>
          <w:rFonts w:ascii="Times New Roman;serif" w:hAnsi="Times New Roman;serif"/>
          <w:b/>
          <w:color w:val="000000"/>
          <w:sz w:val="24"/>
          <w:u w:val="single"/>
        </w:rPr>
        <w:t>Certificates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Except as provided in this Section 8.5, no new certificates for shares shall be issued to replace a</w:t>
      </w:r>
      <w:r>
        <w:rPr>
          <w:color w:val="000000"/>
        </w:rPr>
        <w:t xml:space="preserve"> </w:t>
      </w:r>
      <w:r>
        <w:rPr>
          <w:rFonts w:ascii="Times New Roman;serif" w:hAnsi="Times New Roman;serif"/>
          <w:b w:val="false"/>
          <w:color w:val="000000"/>
          <w:sz w:val="24"/>
        </w:rPr>
        <w:t>previously issued certificate</w:t>
      </w:r>
      <w:r>
        <w:rPr>
          <w:color w:val="000000"/>
        </w:rPr>
        <w:t xml:space="preserve"> </w:t>
      </w:r>
      <w:r>
        <w:rPr>
          <w:rFonts w:ascii="Times New Roman;serif" w:hAnsi="Times New Roman;serif"/>
          <w:b w:val="false"/>
          <w:color w:val="000000"/>
          <w:sz w:val="24"/>
        </w:rPr>
        <w:t>unless the</w:t>
      </w:r>
      <w:r>
        <w:rPr>
          <w:color w:val="000000"/>
        </w:rPr>
        <w:t xml:space="preserve"> </w:t>
      </w:r>
      <w:r>
        <w:rPr>
          <w:rFonts w:ascii="Times New Roman;serif" w:hAnsi="Times New Roman;serif"/>
          <w:b w:val="false"/>
          <w:color w:val="000000"/>
          <w:sz w:val="24"/>
        </w:rPr>
        <w:t>latter</w:t>
      </w:r>
      <w:r>
        <w:rPr>
          <w:color w:val="000000"/>
        </w:rPr>
        <w:t xml:space="preserve"> </w:t>
      </w:r>
      <w:r>
        <w:rPr>
          <w:rFonts w:ascii="Times New Roman;serif" w:hAnsi="Times New Roman;serif"/>
          <w:b w:val="false"/>
          <w:color w:val="000000"/>
          <w:sz w:val="24"/>
        </w:rPr>
        <w:t>is surrendered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 and cancelled at the same time.</w:t>
      </w:r>
      <w:r>
        <w:rPr>
          <w:color w:val="000000"/>
        </w:rPr>
        <w:t xml:space="preserve"> </w:t>
      </w:r>
      <w:r>
        <w:rPr>
          <w:rFonts w:ascii="Times New Roman;serif" w:hAnsi="Times New Roman;serif"/>
          <w:b w:val="false"/>
          <w:color w:val="000000"/>
          <w:sz w:val="24"/>
        </w:rPr>
        <w:t>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indemnify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alleged loss, theft or destruction of any such certificate or the issuance of such new certificate or uncertificated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8.6    </w:t>
      </w:r>
      <w:r>
        <w:rPr>
          <w:rFonts w:ascii="Times New Roman;serif" w:hAnsi="Times New Roman;serif"/>
          <w:b/>
          <w:color w:val="000000"/>
          <w:sz w:val="24"/>
          <w:u w:val="single"/>
        </w:rPr>
        <w:t>Construction;</w:t>
      </w:r>
      <w:r>
        <w:rPr>
          <w:color w:val="000000"/>
          <w:u w:val="single"/>
        </w:rPr>
        <w:t xml:space="preserve"> </w:t>
      </w:r>
      <w:r>
        <w:rPr>
          <w:rFonts w:ascii="Times New Roman;serif" w:hAnsi="Times New Roman;serif"/>
          <w:b/>
          <w:color w:val="000000"/>
          <w:sz w:val="24"/>
          <w:u w:val="single"/>
        </w:rPr>
        <w:t>Definitions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Unless the context requires otherwise, the general provisions, rules of construction, and definitions in the DGCL shall govern the construction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generality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singular number includes the plural, the plural number includes the singular, and the term “person” includes both a corporation and a natural person. If the certificate of incorporation provides for more or less than one vote for any share, on any matter, every reference in these Bylaws to a majority or other proportion of stock, voting stock or shares shall refer to such majority or other proportion of the votes of such stock, voting stock or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8.7    </w:t>
      </w:r>
      <w:r>
        <w:rPr>
          <w:rFonts w:ascii="Times New Roman;serif" w:hAnsi="Times New Roman;serif"/>
          <w:b/>
          <w:color w:val="000000"/>
          <w:sz w:val="24"/>
          <w:u w:val="single"/>
        </w:rPr>
        <w:t>Dividends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directors of the corporation, subject to any restrictions contained in (a) the DGCL or (b) the certificate of incorporation, may declare and pay</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shares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or in shares of the corporation’s capital stock.</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directors of the corporation may set apart out of any of the funds of the corporation</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reserve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reserves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proper</w:t>
      </w:r>
      <w:r>
        <w:rPr>
          <w:color w:val="000000"/>
        </w:rPr>
        <w:t xml:space="preserve"> </w:t>
      </w:r>
      <w:r>
        <w:rPr>
          <w:rFonts w:ascii="Times New Roman;serif" w:hAnsi="Times New Roman;serif"/>
          <w:b w:val="false"/>
          <w:color w:val="000000"/>
          <w:sz w:val="24"/>
        </w:rPr>
        <w:t>purpose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abolish any such reserve.</w:t>
      </w:r>
      <w:r>
        <w:rPr>
          <w:color w:val="000000"/>
        </w:rPr>
        <w:t xml:space="preserve"> </w:t>
      </w:r>
      <w:r>
        <w:rPr>
          <w:rFonts w:ascii="Times New Roman;serif" w:hAnsi="Times New Roman;serif"/>
          <w:b w:val="false"/>
          <w:color w:val="000000"/>
          <w:sz w:val="24"/>
        </w:rPr>
        <w:t>Such purposes shall include but not be limited to equalizing dividends, repairing or maintaining any property of the corporation, and meeting contingencies.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8.8    </w:t>
      </w:r>
      <w:r>
        <w:rPr>
          <w:rFonts w:ascii="Times New Roman;serif" w:hAnsi="Times New Roman;serif"/>
          <w:b/>
          <w:color w:val="000000"/>
          <w:sz w:val="24"/>
          <w:u w:val="single"/>
        </w:rPr>
        <w:t>Fiscal</w:t>
      </w:r>
      <w:r>
        <w:rPr>
          <w:color w:val="000000"/>
          <w:u w:val="single"/>
        </w:rPr>
        <w:t xml:space="preserve"> </w:t>
      </w:r>
      <w:r>
        <w:rPr>
          <w:rFonts w:ascii="Times New Roman;serif" w:hAnsi="Times New Roman;serif"/>
          <w:b/>
          <w:color w:val="000000"/>
          <w:sz w:val="24"/>
          <w:u w:val="single"/>
        </w:rPr>
        <w:t>Year</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fiscal</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resolution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of Directors and may be changed by the Board of 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8.9    </w:t>
      </w:r>
      <w:r>
        <w:rPr>
          <w:rFonts w:ascii="Times New Roman;serif" w:hAnsi="Times New Roman;serif"/>
          <w:b/>
          <w:color w:val="000000"/>
          <w:sz w:val="24"/>
          <w:u w:val="single"/>
        </w:rPr>
        <w:t>Seal</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adopt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corporate</w:t>
      </w:r>
      <w:r>
        <w:rPr>
          <w:color w:val="000000"/>
        </w:rPr>
        <w:t xml:space="preserve"> </w:t>
      </w:r>
      <w:r>
        <w:rPr>
          <w:rFonts w:ascii="Times New Roman;serif" w:hAnsi="Times New Roman;serif"/>
          <w:b w:val="false"/>
          <w:color w:val="000000"/>
          <w:sz w:val="24"/>
        </w:rPr>
        <w:t>seal,</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altered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pleasure,</w:t>
      </w:r>
      <w:r>
        <w:rPr>
          <w:color w:val="000000"/>
        </w:rPr>
        <w:t xml:space="preserve"> </w:t>
      </w:r>
      <w:r>
        <w:rPr>
          <w:rFonts w:ascii="Times New Roman;serif" w:hAnsi="Times New Roman;serif"/>
          <w:b w:val="false"/>
          <w:color w:val="000000"/>
          <w:sz w:val="24"/>
        </w:rPr>
        <w:t>and may use the same by causing it or a facsimile thereof, to be impressed or affixed or in any other manner reproduced.</w:t>
      </w:r>
    </w:p>
    <w:p>
      <w:pPr>
        <w:pStyle w:val="TextBody"/>
        <w:bidi w:val="0"/>
        <w:spacing w:lineRule="auto" w:line="288" w:before="0" w:after="240"/>
        <w:ind w:left="0" w:right="0" w:firstLine="720"/>
        <w:jc w:val="both"/>
        <w:rPr/>
      </w:pPr>
      <w:r>
        <w:rPr>
          <w:rFonts w:ascii="Times New Roman;serif" w:hAnsi="Times New Roman;serif"/>
          <w:b w:val="false"/>
          <w:color w:val="000000"/>
          <w:sz w:val="24"/>
        </w:rPr>
        <w:t>8.10    </w:t>
      </w:r>
      <w:r>
        <w:rPr>
          <w:rFonts w:ascii="Times New Roman;serif" w:hAnsi="Times New Roman;serif"/>
          <w:b/>
          <w:color w:val="000000"/>
          <w:sz w:val="24"/>
          <w:u w:val="single"/>
        </w:rPr>
        <w:t>Transfer</w:t>
      </w:r>
      <w:r>
        <w:rPr>
          <w:color w:val="000000"/>
          <w:u w:val="single"/>
        </w:rPr>
        <w:t xml:space="preserve"> </w:t>
      </w:r>
      <w:r>
        <w:rPr>
          <w:rFonts w:ascii="Times New Roman;serif" w:hAnsi="Times New Roman;serif"/>
          <w:b/>
          <w:color w:val="000000"/>
          <w:sz w:val="24"/>
          <w:u w:val="single"/>
        </w:rPr>
        <w:t>Of</w:t>
      </w:r>
      <w:r>
        <w:rPr>
          <w:color w:val="000000"/>
          <w:u w:val="single"/>
        </w:rPr>
        <w:t xml:space="preserve"> </w:t>
      </w:r>
      <w:r>
        <w:rPr>
          <w:rFonts w:ascii="Times New Roman;serif" w:hAnsi="Times New Roman;serif"/>
          <w:b/>
          <w:color w:val="000000"/>
          <w:sz w:val="24"/>
          <w:u w:val="single"/>
        </w:rPr>
        <w:t>Stock</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Upon surrender to the corporation or the transfer agent of the corporation of a certificate for shares duly endorsed or accompanied by proper evidence of succession, assignation or authority to transfer, it shall be the duty of the corporation to issue a new 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thereto,</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old</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 its books.</w:t>
      </w:r>
    </w:p>
    <w:p>
      <w:pPr>
        <w:pStyle w:val="TextBody"/>
        <w:bidi w:val="0"/>
        <w:spacing w:lineRule="auto" w:line="288" w:before="0" w:after="240"/>
        <w:ind w:left="0" w:right="0" w:firstLine="720"/>
        <w:jc w:val="both"/>
        <w:rPr/>
      </w:pPr>
      <w:r>
        <w:rPr>
          <w:rFonts w:ascii="Times New Roman;serif" w:hAnsi="Times New Roman;serif"/>
          <w:b w:val="false"/>
          <w:color w:val="000000"/>
          <w:sz w:val="24"/>
        </w:rPr>
        <w:t>8.11    </w:t>
      </w:r>
      <w:r>
        <w:rPr>
          <w:rFonts w:ascii="Times New Roman;serif" w:hAnsi="Times New Roman;serif"/>
          <w:b/>
          <w:color w:val="000000"/>
          <w:sz w:val="24"/>
          <w:u w:val="single"/>
        </w:rPr>
        <w:t>Stock</w:t>
      </w:r>
      <w:r>
        <w:rPr>
          <w:color w:val="000000"/>
          <w:u w:val="single"/>
        </w:rPr>
        <w:t xml:space="preserve"> </w:t>
      </w:r>
      <w:r>
        <w:rPr>
          <w:rFonts w:ascii="Times New Roman;serif" w:hAnsi="Times New Roman;serif"/>
          <w:b/>
          <w:color w:val="000000"/>
          <w:sz w:val="24"/>
          <w:u w:val="single"/>
        </w:rPr>
        <w:t>Transfer</w:t>
      </w:r>
      <w:r>
        <w:rPr>
          <w:color w:val="000000"/>
          <w:u w:val="single"/>
        </w:rPr>
        <w:t xml:space="preserve"> </w:t>
      </w:r>
      <w:r>
        <w:rPr>
          <w:rFonts w:ascii="Times New Roman;serif" w:hAnsi="Times New Roman;serif"/>
          <w:b/>
          <w:color w:val="000000"/>
          <w:sz w:val="24"/>
          <w:u w:val="single"/>
        </w:rPr>
        <w:t>Agreements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corporation shall have power to enter into and perform any agreement with any</w:t>
      </w:r>
      <w:r>
        <w:rPr>
          <w:color w:val="000000"/>
        </w:rPr>
        <w:t xml:space="preserve"> </w:t>
      </w:r>
      <w:r>
        <w:rPr>
          <w:rFonts w:ascii="Times New Roman;serif" w:hAnsi="Times New Roman;serif"/>
          <w:b w:val="false"/>
          <w:color w:val="000000"/>
          <w:sz w:val="24"/>
        </w:rPr>
        <w:t>number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classes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restrict</w:t>
      </w:r>
      <w:r>
        <w:rPr>
          <w:color w:val="000000"/>
        </w:rPr>
        <w:t xml:space="preserve"> </w:t>
      </w:r>
      <w:r>
        <w:rPr>
          <w:rFonts w:ascii="Times New Roman;serif" w:hAnsi="Times New Roman;serif"/>
          <w:b w:val="false"/>
          <w:color w:val="000000"/>
          <w:sz w:val="24"/>
        </w:rPr>
        <w:t>the transfer of shares of stock of the corporation of any one or more classes owned by such stockholders in any manner not prohibited by the DGCL.</w:t>
      </w:r>
    </w:p>
    <w:p>
      <w:pPr>
        <w:pStyle w:val="TextBody"/>
        <w:bidi w:val="0"/>
        <w:spacing w:lineRule="auto" w:line="288" w:before="0" w:after="240"/>
        <w:ind w:left="0" w:right="0" w:firstLine="720"/>
        <w:jc w:val="both"/>
        <w:rPr/>
      </w:pPr>
      <w:r>
        <w:rPr>
          <w:rFonts w:ascii="Times New Roman;serif" w:hAnsi="Times New Roman;serif"/>
          <w:b w:val="false"/>
          <w:color w:val="000000"/>
          <w:sz w:val="24"/>
        </w:rPr>
        <w:t>8.12    </w:t>
      </w:r>
      <w:r>
        <w:rPr>
          <w:rFonts w:ascii="Times New Roman;serif" w:hAnsi="Times New Roman;serif"/>
          <w:b/>
          <w:color w:val="000000"/>
          <w:sz w:val="24"/>
          <w:u w:val="single"/>
        </w:rPr>
        <w:t>Registered</w:t>
      </w:r>
      <w:r>
        <w:rPr>
          <w:color w:val="000000"/>
          <w:u w:val="single"/>
        </w:rPr>
        <w:t xml:space="preserve"> </w:t>
      </w:r>
      <w:r>
        <w:rPr>
          <w:rFonts w:ascii="Times New Roman;serif" w:hAnsi="Times New Roman;serif"/>
          <w:b/>
          <w:color w:val="000000"/>
          <w:sz w:val="24"/>
          <w:u w:val="single"/>
        </w:rPr>
        <w:t>Stockholders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shares, 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recognize</w:t>
      </w:r>
      <w:r>
        <w:rPr>
          <w:color w:val="000000"/>
        </w:rPr>
        <w:t xml:space="preserve"> </w:t>
      </w:r>
      <w:r>
        <w:rPr>
          <w:rFonts w:ascii="Times New Roman;serif" w:hAnsi="Times New Roman;serif"/>
          <w:b w:val="false"/>
          <w:color w:val="000000"/>
          <w:sz w:val="24"/>
        </w:rPr>
        <w:t>any equitable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 such share or shares on the part of another person, whether or not it shall have express or other notice thereof, except as otherwise provided by the laws of Delaware.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8.13    </w:t>
      </w:r>
      <w:r>
        <w:rPr>
          <w:rFonts w:ascii="Times New Roman;serif" w:hAnsi="Times New Roman;serif"/>
          <w:b/>
          <w:color w:val="000000"/>
          <w:sz w:val="24"/>
          <w:u w:val="single"/>
        </w:rPr>
        <w:t>Facsimile</w:t>
      </w:r>
      <w:r>
        <w:rPr>
          <w:color w:val="000000"/>
          <w:u w:val="single"/>
        </w:rPr>
        <w:t xml:space="preserve"> </w:t>
      </w:r>
      <w:r>
        <w:rPr>
          <w:rFonts w:ascii="Times New Roman;serif" w:hAnsi="Times New Roman;serif"/>
          <w:b/>
          <w:color w:val="000000"/>
          <w:sz w:val="24"/>
          <w:u w:val="single"/>
        </w:rPr>
        <w:t>Signature</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signatures</w:t>
      </w:r>
      <w:r>
        <w:rPr>
          <w:color w:val="000000"/>
        </w:rPr>
        <w:t xml:space="preserve"> </w:t>
      </w:r>
      <w:r>
        <w:rPr>
          <w:rFonts w:ascii="Times New Roman;serif" w:hAnsi="Times New Roman;serif"/>
          <w:b w:val="false"/>
          <w:color w:val="000000"/>
          <w:sz w:val="24"/>
        </w:rPr>
        <w:t>elsewhere</w:t>
      </w:r>
      <w:r>
        <w:rPr>
          <w:color w:val="000000"/>
        </w:rPr>
        <w:t xml:space="preserve"> </w:t>
      </w:r>
      <w:r>
        <w:rPr>
          <w:rFonts w:ascii="Times New Roman;serif" w:hAnsi="Times New Roman;serif"/>
          <w:b w:val="false"/>
          <w:color w:val="000000"/>
          <w:sz w:val="24"/>
        </w:rPr>
        <w:t>specifically authorized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signatures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officers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may be used whenever and as authorized by the Board of Directors or a committee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8.14    </w:t>
      </w:r>
      <w:r>
        <w:rPr>
          <w:rFonts w:ascii="Times New Roman;serif" w:hAnsi="Times New Roman;serif"/>
          <w:b/>
          <w:color w:val="000000"/>
          <w:sz w:val="24"/>
          <w:u w:val="single"/>
        </w:rPr>
        <w:t>Severability.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To the extent that any provision of these Bylaws is found to be invalid or unenforceable,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invalidity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unenforceability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validity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enforceability</w:t>
      </w:r>
      <w:r>
        <w:rPr>
          <w:color w:val="000000"/>
        </w:rPr>
        <w:t xml:space="preserve"> </w:t>
      </w:r>
      <w:r>
        <w:rPr>
          <w:rFonts w:ascii="Times New Roman;serif" w:hAnsi="Times New Roman;serif"/>
          <w:b w:val="false"/>
          <w:color w:val="000000"/>
          <w:sz w:val="24"/>
        </w:rPr>
        <w:t>of any other provision of these Bylaws, and following any determination by a court of competent jurisdiction that any provision of these Bylaws is invalid or unenforceable, these Bylaws shall contain only such provisions (A) as were in effect immediately prior to such determination and (B)</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unenforceable.</w:t>
      </w:r>
    </w:p>
    <w:p>
      <w:pPr>
        <w:pStyle w:val="TextBody"/>
        <w:bidi w:val="0"/>
        <w:spacing w:lineRule="auto" w:line="288" w:before="0" w:after="240"/>
        <w:jc w:val="center"/>
        <w:rPr/>
      </w:pPr>
      <w:r>
        <w:rPr>
          <w:rFonts w:ascii="Times New Roman;serif" w:hAnsi="Times New Roman;serif"/>
          <w:b/>
          <w:color w:val="000000"/>
          <w:sz w:val="24"/>
        </w:rPr>
        <w:t>ARTICLE IX</w:t>
      </w:r>
      <w:r>
        <w:rPr>
          <w:rFonts w:ascii="Times New Roman;serif" w:hAnsi="Times New Roman;serif"/>
          <w:b/>
          <w:color w:val="000000"/>
          <w:sz w:val="24"/>
          <w:u w:val="single"/>
        </w:rPr>
        <w:br/>
        <w:br/>
        <w:t>AMENDMENTS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adopted,</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repealed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 entitled to vote thereon. Subject to any limitations in the certification of incorporation and except as otherwise set forth herein, the Board of Directors of the Corporation is expressly authorized to make, alter or repeal Bylaws of the Corporation.</w:t>
      </w:r>
      <w:r>
        <w:rPr>
          <w:color w:val="000000"/>
        </w:rPr>
        <w:t xml:space="preserve"> </w:t>
      </w:r>
      <w:r>
        <w:rPr>
          <w:rFonts w:ascii="Times New Roman;serif" w:hAnsi="Times New Roman;serif"/>
          <w:b w:val="false"/>
          <w:color w:val="000000"/>
          <w:sz w:val="24"/>
        </w:rPr>
        <w:t>The fact that</w:t>
      </w:r>
      <w:r>
        <w:rPr>
          <w:color w:val="000000"/>
        </w:rPr>
        <w:t xml:space="preserve"> </w:t>
      </w:r>
      <w:r>
        <w:rPr>
          <w:rFonts w:ascii="Times New Roman;serif" w:hAnsi="Times New Roman;serif"/>
          <w:b w:val="false"/>
          <w:color w:val="000000"/>
          <w:sz w:val="24"/>
        </w:rPr>
        <w:t>such</w:t>
      </w:r>
      <w:r>
        <w:rPr>
          <w:color w:val="000000"/>
        </w:rPr>
        <w:t xml:space="preserve"> </w:t>
      </w:r>
    </w:p>
    <w:p>
      <w:pPr>
        <w:pStyle w:val="TextBody"/>
        <w:bidi w:val="0"/>
        <w:spacing w:lineRule="auto" w:line="288" w:before="0" w:after="240"/>
        <w:jc w:val="both"/>
        <w:rPr/>
      </w:pP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conferred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divest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stockholders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power, nor limit their power to adopt, amend or repeal Bylaws.</w:t>
      </w:r>
    </w:p>
    <w:p>
      <w:pPr>
        <w:pStyle w:val="TextBody"/>
        <w:bidi w:val="0"/>
        <w:spacing w:lineRule="auto" w:line="288" w:before="0" w:after="240"/>
        <w:jc w:val="center"/>
        <w:rPr/>
      </w:pPr>
      <w:r>
        <w:rPr>
          <w:rFonts w:ascii="Times New Roman;serif" w:hAnsi="Times New Roman;serif"/>
          <w:b/>
          <w:color w:val="000000"/>
          <w:sz w:val="24"/>
        </w:rPr>
        <w:t>ARTICLE X</w:t>
      </w:r>
      <w:r>
        <w:rPr>
          <w:rFonts w:ascii="Times New Roman;serif" w:hAnsi="Times New Roman;serif"/>
          <w:b/>
          <w:color w:val="000000"/>
          <w:sz w:val="24"/>
          <w:u w:val="single"/>
        </w:rPr>
        <w:br/>
        <w:br/>
        <w:t>ASX LISTING RULES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Notwithstanding anything herein or in the Certificate of Incorporation to the contrary,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admitted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Official</w:t>
      </w:r>
      <w:r>
        <w:rPr>
          <w:color w:val="000000"/>
        </w:rPr>
        <w:t xml:space="preserve"> </w:t>
      </w:r>
      <w:r>
        <w:rPr>
          <w:rFonts w:ascii="Times New Roman;serif" w:hAnsi="Times New Roman;serif"/>
          <w:b w:val="false"/>
          <w:color w:val="000000"/>
          <w:sz w:val="24"/>
        </w:rPr>
        <w:t>List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ASX</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(the “ASX”), the following shall apply: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Except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 the</w:t>
      </w:r>
      <w:r>
        <w:rPr>
          <w:color w:val="000000"/>
        </w:rPr>
        <w:t xml:space="preserve"> </w:t>
      </w:r>
      <w:r>
        <w:rPr>
          <w:rFonts w:ascii="Times New Roman;serif" w:hAnsi="Times New Roman;serif"/>
          <w:b w:val="false"/>
          <w:color w:val="000000"/>
          <w:sz w:val="24"/>
        </w:rPr>
        <w:t>relevant act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taken) by</w:t>
      </w:r>
      <w:r>
        <w:rPr>
          <w:color w:val="000000"/>
        </w:rPr>
        <w:t xml:space="preserve"> </w:t>
      </w:r>
      <w:r>
        <w:rPr>
          <w:rFonts w:ascii="Times New Roman;serif" w:hAnsi="Times New Roman;serif"/>
          <w:b w:val="false"/>
          <w:color w:val="000000"/>
          <w:sz w:val="24"/>
        </w:rPr>
        <w:t>ASX,</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Official</w:t>
      </w:r>
      <w:r>
        <w:rPr>
          <w:color w:val="000000"/>
        </w:rPr>
        <w:t xml:space="preserve"> </w:t>
      </w:r>
      <w:r>
        <w:rPr>
          <w:rFonts w:ascii="Times New Roman;serif" w:hAnsi="Times New Roman;serif"/>
          <w:b w:val="false"/>
          <w:color w:val="000000"/>
          <w:sz w:val="24"/>
        </w:rPr>
        <w:t>Listing</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ASX</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ASX which are applicable to the corporation from time to time (collectively the “Listing Rules”) prohibit</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done,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authority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Nothing</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these</w:t>
      </w:r>
      <w:r>
        <w:rPr>
          <w:color w:val="000000"/>
        </w:rPr>
        <w:t xml:space="preserve"> </w:t>
      </w:r>
      <w:r>
        <w:rPr>
          <w:rFonts w:ascii="Times New Roman;serif" w:hAnsi="Times New Roman;serif"/>
          <w:b w:val="false"/>
          <w:color w:val="000000"/>
          <w:sz w:val="24"/>
        </w:rPr>
        <w:t>Bylaws</w:t>
      </w:r>
      <w:r>
        <w:rPr>
          <w:color w:val="000000"/>
        </w:rPr>
        <w:t xml:space="preserve"> </w:t>
      </w:r>
      <w:r>
        <w:rPr>
          <w:rFonts w:ascii="Times New Roman;serif" w:hAnsi="Times New Roman;serif"/>
          <w:b w:val="false"/>
          <w:color w:val="000000"/>
          <w:sz w:val="24"/>
        </w:rPr>
        <w:t>shall prevent an act being done that the Listing Rules require to be done.</w:t>
      </w:r>
    </w:p>
    <w:p>
      <w:pPr>
        <w:pStyle w:val="TextBody"/>
        <w:bidi w:val="0"/>
        <w:spacing w:lineRule="auto" w:line="288" w:before="0" w:after="240"/>
        <w:ind w:left="0" w:right="0" w:firstLine="1440"/>
        <w:jc w:val="both"/>
        <w:rPr/>
      </w:pPr>
      <w:r>
        <w:rPr>
          <w:rFonts w:ascii="Times New Roman;serif" w:hAnsi="Times New Roman;serif"/>
          <w:b w:val="false"/>
          <w:color w:val="000000"/>
          <w:sz w:val="24"/>
        </w:rPr>
        <w:t>3.    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Listing</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done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done,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of Directors (and any committee or subcommittee thereof) and each officer of the corporation shall have authority to cause such act to be done or not to be done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4.    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Listing</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require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Incorporation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these Bylaws to contain a provision and such document does not contain such provision, such applicable document shall, and shall be deemed to, contain such provision.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5.    If the Listing Rules require the Certificate of Incorporation or these Bylaws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contain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therein,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shall be, and shall be deemed to be, excluded from such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    If any provision of the Certificate of Incorporation or these Bylaws is or becomes inconsistent with the Listing Rules, such inconsistency shall not affect the validity or enforceability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 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contain</w:t>
      </w:r>
      <w:r>
        <w:rPr>
          <w:color w:val="000000"/>
        </w:rPr>
        <w:t xml:space="preserve"> </w:t>
      </w:r>
      <w:r>
        <w:rPr>
          <w:rFonts w:ascii="Times New Roman;serif" w:hAnsi="Times New Roman;serif"/>
          <w:b w:val="false"/>
          <w:color w:val="000000"/>
          <w:sz w:val="24"/>
        </w:rPr>
        <w:t>that provision to the extent of the inconsistency.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Lauren Antonoff,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917"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1033"/>
        <w:gridCol w:w="1033"/>
        <w:gridCol w:w="1038"/>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 13a-14(a)/15d-14(a)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I, Russell Burke, certify that: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June 30, 2026 (the “Report”), I, Lauren Antonoff,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5917"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1033"/>
        <w:gridCol w:w="1033"/>
        <w:gridCol w:w="1038"/>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Antonoff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of Life360, Inc. (the “Company”), on Form 10-Q for the quarter ended June 30, 2026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4152060/d844406d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44239</Words>
  <Characters>238041</Characters>
  <CharactersWithSpaces>280333</CharactersWithSpaces>
  <Paragraphs>3937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