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Antonoff Lauren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52,997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356,229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1/48th of the RSUs will vest monthly from September 1, 2025, subject to the Reporting Person's continuous service through each vesting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258,971 RSUs previously granted, each of which represents a contingent right to receive one share of the Issuer's common stock upon vesting.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Allison Chang,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2029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2025-09-03T20:26:08Z</dcterms:created>
  <dcterms:modified xsi:type="dcterms:W3CDTF">2025-09-03T20:26:08Z</dcterms:modified>
</cp:coreProperties>
</file>