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1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United States securities and exchange commission logo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11" w:lineRule="exact"/>
        <w:rPr>
          <w:sz w:val="24"/>
          <w:szCs w:val="24"/>
          <w:color w:val="auto"/>
        </w:rPr>
      </w:pPr>
    </w:p>
    <w:p>
      <w:pPr>
        <w:ind w:left="30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May 23, 2024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Russell Burke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Chief Financial Officer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Life360, Inc.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1900 South Norfolk Street, Suite 310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San Mateo, CA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Re: Life360, Inc.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ind w:left="63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Form 10-K for the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Fiscal Year Ended December 31, 2023</w:t>
      </w:r>
    </w:p>
    <w:p>
      <w:pPr>
        <w:ind w:left="63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Form 8-K filed May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9, 2024</w:t>
      </w:r>
    </w:p>
    <w:p>
      <w:pPr>
        <w:ind w:left="63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 No. 000-56424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Dear Russell Burke: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We have reviewed your May 9, 2024 response to our comment letter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and have the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following comments.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right="2659" w:firstLine="1474"/>
        <w:spacing w:after="0" w:line="25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respond to this letter within ten business days by providing the requested</w:t>
      </w:r>
    </w:p>
    <w:p>
      <w:pPr>
        <w:ind w:right="2019" w:firstLine="737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information or advise us as soon as possible when you will respond. If you do not believe a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right="2019" w:firstLine="737"/>
        <w:spacing w:after="0" w:line="309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comment applies to your facts and circumstances, please tell us why in your response.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right="2659" w:firstLine="1474"/>
        <w:spacing w:after="0" w:line="25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After reviewing your response to this letter, we may have additional comments. Unless</w:t>
      </w:r>
    </w:p>
    <w:p>
      <w:pPr>
        <w:ind w:right="2019" w:firstLine="737"/>
        <w:spacing w:after="0" w:line="309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note otherwise, any references to prior comments are to comments in our May 7, 2024 letter.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Form 8-K filed May 9, 2024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Exhibit 99.1, Media release of the Registrant dated May 9, 2024 (U.S.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Time)</w:t>
      </w:r>
    </w:p>
    <w:p>
      <w:pPr>
        <w:spacing w:after="0" w:line="168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4"/>
        </w:trPr>
        <w:tc>
          <w:tcPr>
            <w:tcW w:w="33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1.</w:t>
            </w:r>
          </w:p>
        </w:tc>
        <w:tc>
          <w:tcPr>
            <w:tcW w:w="4940" w:type="dxa"/>
            <w:vAlign w:val="bottom"/>
          </w:tcPr>
          <w:p>
            <w:pPr>
              <w:ind w:left="2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We note your response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8320" w:type="dxa"/>
            <w:vAlign w:val="bottom"/>
            <w:gridSpan w:val="2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to prior comment 4. As noted in Question 104.05 of Non-GAAP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3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940" w:type="dxa"/>
            <w:vAlign w:val="bottom"/>
          </w:tcPr>
          <w:p>
            <w:pPr>
              <w:ind w:left="252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Financial Measures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8320" w:type="dxa"/>
            <w:vAlign w:val="bottom"/>
            <w:gridSpan w:val="2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Compliance &amp; Disclosure Interpretations, revenue amounts adjusted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3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940" w:type="dxa"/>
            <w:vAlign w:val="bottom"/>
          </w:tcPr>
          <w:p>
            <w:pPr>
              <w:ind w:left="252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in any manner are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8320" w:type="dxa"/>
            <w:vAlign w:val="bottom"/>
            <w:gridSpan w:val="2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considered non-GAAP financial measures. The bundled offerings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3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940" w:type="dxa"/>
            <w:vAlign w:val="bottom"/>
          </w:tcPr>
          <w:p>
            <w:pPr>
              <w:ind w:left="252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6"/>
              </w:rPr>
              <w:t>adjustment reverses the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8320" w:type="dxa"/>
            <w:vAlign w:val="bottom"/>
            <w:gridSpan w:val="2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allocation of hardware revenue that is required to be recognized at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3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940" w:type="dxa"/>
            <w:vAlign w:val="bottom"/>
          </w:tcPr>
          <w:p>
            <w:pPr>
              <w:ind w:left="252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a point in time under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8320" w:type="dxa"/>
            <w:vAlign w:val="bottom"/>
            <w:gridSpan w:val="2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ASC 606. This adjustment appears to have the effect of changing the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3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940" w:type="dxa"/>
            <w:vAlign w:val="bottom"/>
          </w:tcPr>
          <w:p>
            <w:pPr>
              <w:ind w:left="252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measurement and the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8320" w:type="dxa"/>
            <w:vAlign w:val="bottom"/>
            <w:gridSpan w:val="2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pattern of revenue recognition, which is inconsistent with the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3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940" w:type="dxa"/>
            <w:vAlign w:val="bottom"/>
          </w:tcPr>
          <w:p>
            <w:pPr>
              <w:ind w:left="252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guidance in Question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8320" w:type="dxa"/>
            <w:vAlign w:val="bottom"/>
            <w:gridSpan w:val="2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100.04 of Non-GAAP Financial Measures Compliance &amp; Disclosure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3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940" w:type="dxa"/>
            <w:vAlign w:val="bottom"/>
          </w:tcPr>
          <w:p>
            <w:pPr>
              <w:ind w:left="252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6"/>
              </w:rPr>
              <w:t>Interpretations. Please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8320" w:type="dxa"/>
            <w:vAlign w:val="bottom"/>
            <w:gridSpan w:val="2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remove this adjustment from all non-GAAP measures in future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33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2.</w:t>
            </w:r>
          </w:p>
        </w:tc>
        <w:tc>
          <w:tcPr>
            <w:tcW w:w="4940" w:type="dxa"/>
            <w:vAlign w:val="bottom"/>
          </w:tcPr>
          <w:p>
            <w:pPr>
              <w:ind w:left="252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filings.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338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940" w:type="dxa"/>
            <w:vAlign w:val="bottom"/>
          </w:tcPr>
          <w:p>
            <w:pPr>
              <w:ind w:left="252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We note the revised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8320" w:type="dxa"/>
            <w:vAlign w:val="bottom"/>
            <w:gridSpan w:val="2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explanation of usefulness of each of the non-GAAP measures within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33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Non-GAAP Financial Information</w:t>
            </w:r>
          </w:p>
        </w:tc>
        <w:tc>
          <w:tcPr>
            <w:tcW w:w="4940" w:type="dxa"/>
            <w:vAlign w:val="bottom"/>
          </w:tcPr>
          <w:p>
            <w:pPr>
              <w:ind w:left="284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Supplementary and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3380" w:type="dxa"/>
            <w:vAlign w:val="bottom"/>
            <w:vMerge w:val="continu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94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in response to prior comment 4.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590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You indicate that</w:t>
      </w:r>
    </w:p>
    <w:p>
      <w:pPr>
        <w:ind w:left="120" w:right="3819" w:hanging="104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non-GAAP cost of revenue and non-GAAP operating expenses are Russell Burke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Life360, Inc.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May 23, 2024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Page 2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right="2339" w:firstLine="632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adjusted for non-recurring, non-cash expenses. However, we note that certain of these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right="2659" w:firstLine="632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adjustments are recurring. Please explain how you considered Item 10(e)(1)(ii) of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right="1919" w:firstLine="632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Regulation S-K and the guidance in Question 102.03 of Non-GAAP Financial Measures</w:t>
      </w:r>
    </w:p>
    <w:p>
      <w:pPr>
        <w:ind w:left="6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Compliance &amp; Disclosure Interpretations.</w:t>
      </w:r>
    </w:p>
    <w:p>
      <w:pPr>
        <w:ind w:right="2239" w:firstLine="737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contact Melissa Walsh at 202-551-3224 or Stephen Krikorian at 202-551-3488 if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you have questions regarding comments on the financial statements and related</w:t>
      </w:r>
    </w:p>
    <w:p>
      <w:pPr>
        <w:sectPr>
          <w:pgSz w:w="11900" w:h="16854" w:orient="portrait"/>
          <w:cols w:equalWidth="0" w:num="1">
            <w:col w:w="10139"/>
          </w:cols>
          <w:pgMar w:left="320" w:top="218" w:right="1440" w:bottom="0" w:gutter="0" w:footer="0" w:header="0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matters. Please</w:t>
      </w:r>
    </w:p>
    <w:p>
      <w:pPr>
        <w:spacing w:after="0" w:line="31" w:lineRule="exact"/>
        <w:rPr>
          <w:sz w:val="20"/>
          <w:szCs w:val="20"/>
          <w:color w:val="auto"/>
        </w:rPr>
      </w:pPr>
    </w:p>
    <w:p>
      <w:pPr>
        <w:ind w:right="2019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contact Aliya Ishmukhamedova at 202-551-7519 or Matthew Derby at 202-551-3334 with any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other questions.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74" w:lineRule="exact"/>
        <w:rPr>
          <w:sz w:val="20"/>
          <w:szCs w:val="20"/>
          <w:color w:val="auto"/>
        </w:rPr>
      </w:pPr>
    </w:p>
    <w:p>
      <w:pPr>
        <w:ind w:left="61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Sincerely,</w:t>
      </w:r>
    </w:p>
    <w:p>
      <w:pPr>
        <w:spacing w:after="0" w:line="2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 LastNameRussell Burke</w:t>
      </w:r>
    </w:p>
    <w:p>
      <w:pPr>
        <w:ind w:left="61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Division of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Corporation Finance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Comapany NameLife360, Inc.</w:t>
      </w:r>
    </w:p>
    <w:p>
      <w:pPr>
        <w:jc w:val="right"/>
        <w:ind w:right="1919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Office of Technology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May 23, 2024 Page 2</w:t>
      </w:r>
    </w:p>
    <w:p>
      <w:pPr>
        <w:ind w:left="1060" w:hanging="1052"/>
        <w:spacing w:after="0"/>
        <w:tabs>
          <w:tab w:leader="none" w:pos="10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Natalie Karam</w:t>
      </w:r>
    </w:p>
    <w:p>
      <w:pPr>
        <w:spacing w:after="0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 LastName</w:t>
      </w:r>
    </w:p>
    <w:sectPr>
      <w:pgSz w:w="11900" w:h="16838" w:orient="portrait"/>
      <w:cols w:equalWidth="0" w:num="1">
        <w:col w:w="10139"/>
      </w:cols>
      <w:pgMar w:left="320" w:top="110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%1:"/>
      <w:numFmt w:val="lowerLetter"/>
      <w:start w:val="29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2024-07-01T23:13:38Z</dcterms:created>
  <dcterms:modified xsi:type="dcterms:W3CDTF">2024-07-01T23:13:38Z</dcterms:modified>
</cp:coreProperties>
</file>