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Life360,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Hyperion Asset Management Limited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AUSTRALIA</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5,471,445.00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5,471,445.00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5,471,445.00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Life360,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1900 S Norfolk St, Suite 310, San Mateo, CA, 94403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Hyperion Asset Management Limited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Level 19, 307 Queen Street, Brisbane QLD 4000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Australia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5,471,445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6.98%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5,471,445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5,471,445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221"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Hyperion Asset Management Limited</w:t>
      </w:r>
    </w:p>
    <w:p>
      <w:pPr>
        <w:spacing w:after="0" w:line="152" w:lineRule="exact"/>
        <w:rPr>
          <w:sz w:val="20"/>
          <w:szCs w:val="20"/>
          <w:color w:val="auto"/>
        </w:rPr>
      </w:pPr>
    </w:p>
    <w:p>
      <w:pPr>
        <w:ind w:left="2420"/>
        <w:spacing w:after="0"/>
        <w:tabs>
          <w:tab w:leader="none" w:pos="3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Mark Arnold</w:t>
      </w:r>
    </w:p>
    <w:p>
      <w:pPr>
        <w:spacing w:after="0" w:line="4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Name/Title: Mark Arnold</w:t>
      </w:r>
    </w:p>
    <w:p>
      <w:pPr>
        <w:spacing w:after="0" w:line="44" w:lineRule="exact"/>
        <w:rPr>
          <w:sz w:val="20"/>
          <w:szCs w:val="20"/>
          <w:color w:val="auto"/>
        </w:rPr>
      </w:pPr>
    </w:p>
    <w:p>
      <w:pPr>
        <w:ind w:left="2420"/>
        <w:spacing w:after="0"/>
        <w:tabs>
          <w:tab w:leader="none" w:pos="3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04/15/2026</w:t>
      </w:r>
    </w:p>
    <w:sectPr>
      <w:pgSz w:w="11900" w:h="16838" w:orient="portrait"/>
      <w:cols w:equalWidth="0" w:num="1">
        <w:col w:w="11140"/>
      </w:cols>
      <w:pgMar w:left="360" w:top="126" w:right="399" w:bottom="2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2026-04-15T10:20:42Z</dcterms:created>
  <dcterms:modified xsi:type="dcterms:W3CDTF">2026-04-15T10:20:42Z</dcterms:modified>
</cp:coreProperties>
</file>