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70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70826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COGHLAN JOHN PHILIP</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Life360,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360" w:type="dxa"/>
            <w:vAlign w:val="bottom"/>
            <w:tcBorders>
              <w:bottom w:val="single" w:sz="8" w:color="0000EE"/>
            </w:tcBorders>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08/01/2025</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28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 John</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08/01/2025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7"/>
                <w:szCs w:val="17"/>
                <w:color w:val="0000FF"/>
              </w:rPr>
              <w:t>2,634</w:t>
            </w:r>
          </w:p>
        </w:tc>
        <w:tc>
          <w:tcPr>
            <w:tcW w:w="540" w:type="dxa"/>
            <w:vAlign w:val="bottom"/>
          </w:tcPr>
          <w:p>
            <w:pPr>
              <w:jc w:val="center"/>
              <w:ind w:left="27"/>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73.34</w:t>
            </w:r>
            <w:r>
              <w:rPr>
                <w:rFonts w:ascii="Times New Roman" w:cs="Times New Roman" w:eastAsia="Times New Roman" w:hAnsi="Times New Roman"/>
                <w:sz w:val="22"/>
                <w:szCs w:val="22"/>
                <w:color w:val="008000"/>
                <w:vertAlign w:val="superscript"/>
              </w:rPr>
              <w:t>(2)</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12,991</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 John</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08/01/2025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20" w:type="dxa"/>
            <w:vAlign w:val="bottom"/>
          </w:tcPr>
          <w:p>
            <w:pPr>
              <w:jc w:val="right"/>
              <w:ind w:right="129"/>
              <w:spacing w:after="0"/>
              <w:rPr>
                <w:sz w:val="20"/>
                <w:szCs w:val="20"/>
                <w:color w:val="auto"/>
              </w:rPr>
            </w:pPr>
            <w:r>
              <w:rPr>
                <w:rFonts w:ascii="Times New Roman" w:cs="Times New Roman" w:eastAsia="Times New Roman" w:hAnsi="Times New Roman"/>
                <w:sz w:val="17"/>
                <w:szCs w:val="17"/>
                <w:color w:val="0000FF"/>
              </w:rPr>
              <w:t>491</w:t>
            </w:r>
          </w:p>
        </w:tc>
        <w:tc>
          <w:tcPr>
            <w:tcW w:w="540" w:type="dxa"/>
            <w:vAlign w:val="bottom"/>
          </w:tcPr>
          <w:p>
            <w:pPr>
              <w:jc w:val="center"/>
              <w:ind w:left="27"/>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74.75</w:t>
            </w:r>
            <w:r>
              <w:rPr>
                <w:rFonts w:ascii="Times New Roman" w:cs="Times New Roman" w:eastAsia="Times New Roman" w:hAnsi="Times New Roman"/>
                <w:sz w:val="22"/>
                <w:szCs w:val="22"/>
                <w:color w:val="008000"/>
                <w:vertAlign w:val="superscript"/>
              </w:rPr>
              <w:t>(3)</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12,500</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3,344</w:t>
            </w:r>
            <w:r>
              <w:rPr>
                <w:rFonts w:ascii="Times New Roman" w:cs="Times New Roman" w:eastAsia="Times New Roman" w:hAnsi="Times New Roman"/>
                <w:sz w:val="22"/>
                <w:szCs w:val="22"/>
                <w:color w:val="008000"/>
                <w:w w:val="93"/>
                <w:vertAlign w:val="superscript"/>
              </w:rPr>
              <w:t>(4)</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John</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Philip</w:t>
            </w:r>
          </w:p>
        </w:tc>
        <w:tc>
          <w:tcPr>
            <w:tcW w:w="0" w:type="dxa"/>
            <w:vAlign w:val="bottom"/>
          </w:tcPr>
          <w:p>
            <w:pPr>
              <w:spacing w:after="0"/>
              <w:rPr>
                <w:sz w:val="1"/>
                <w:szCs w:val="1"/>
                <w:color w:val="auto"/>
              </w:rPr>
            </w:pPr>
          </w:p>
        </w:tc>
      </w:tr>
      <w:tr>
        <w:trPr>
          <w:trHeight w:val="23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77,604</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2025</w:t>
      </w:r>
    </w:p>
    <w:p>
      <w:pPr>
        <w:spacing w:after="0" w:line="11"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Grantor</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Retained</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Annuity</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on this Form 4 was effected pursuant to a Rule 10b5-1 trading plan adopted by the Reporting Person on December 6, 2024. The Rule 10b5-1 trading plan is a pre-arranged written trading plan pursuant to which shares of Company stock are sold automatically based on a predetermined formula that was established by the Reporting Person at a time when the Reporting Person was not aware of any material nonpublic information about the Company.</w:t>
      </w:r>
    </w:p>
    <w:p>
      <w:pPr>
        <w:spacing w:after="0" w:line="2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$73.10 to $73.80,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$74.55 to $74.95, inclusive, per share. The Reporting Person</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3"/>
          <w:szCs w:val="13"/>
          <w:color w:val="008000"/>
        </w:rPr>
        <w:t>undertakes to provide to the Issuer, any securityholder of the Issuer or the Staff of the Securities and Exchange Commission, upon request, full details regarding the number of shares sold at each separate price within the range.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4. Reflects 3,344 restricted stock units, each of which represents a contingent right to receive one share of the Issuer's common stock upon vesting.</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08/05/2025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2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85999"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2025-08-05T18:14:44Z</dcterms:created>
  <dcterms:modified xsi:type="dcterms:W3CDTF">2025-08-05T18:14:44Z</dcterms:modified>
</cp:coreProperties>
</file>