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09/04/2025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09/04/2025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7,152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86.65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476,678</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1,846</w:t>
            </w:r>
            <w:r>
              <w:rPr>
                <w:rFonts w:ascii="Times New Roman" w:cs="Times New Roman" w:eastAsia="Times New Roman" w:hAnsi="Times New Roman"/>
                <w:sz w:val="22"/>
                <w:szCs w:val="22"/>
                <w:color w:val="008000"/>
                <w:w w:val="93"/>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Labs,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137,853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 which remain subject to a lock-up agreement.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w:t>
      </w:r>
    </w:p>
    <w:p>
      <w:pPr>
        <w:sectPr>
          <w:pgSz w:w="11900" w:h="1685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Person represents his proportionate ownership interest in ICCA Labs, LLC.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2025-09-08T18:53:37Z</dcterms:created>
  <dcterms:modified xsi:type="dcterms:W3CDTF">2025-09-08T18:53:37Z</dcterms:modified>
</cp:coreProperties>
</file>