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0001989267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Stick Susan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11000</w:t>
            </w:r>
          </w:p>
        </w:tc>
        <w:tc>
          <w:tcPr>
            <w:tcW w:w="1377" w:type="dxa"/>
            <w:tcBorders/>
            <w:vAlign w:val="center"/>
          </w:tcPr>
          <w:p>
            <w:pPr>
              <w:pStyle w:val="TableContents"/>
              <w:bidi w:val="0"/>
              <w:spacing w:before="0" w:after="283"/>
              <w:jc w:val="left"/>
              <w:rPr/>
            </w:pPr>
            <w:r>
              <w:rPr/>
              <w:t>496501.73</w:t>
            </w:r>
          </w:p>
        </w:tc>
        <w:tc>
          <w:tcPr>
            <w:tcW w:w="1552" w:type="dxa"/>
            <w:tcBorders/>
            <w:vAlign w:val="center"/>
          </w:tcPr>
          <w:p>
            <w:pPr>
              <w:pStyle w:val="TableContents"/>
              <w:bidi w:val="0"/>
              <w:spacing w:before="0" w:after="283"/>
              <w:jc w:val="left"/>
              <w:rPr/>
            </w:pPr>
            <w:r>
              <w:rPr/>
              <w:t>75527845</w:t>
            </w:r>
          </w:p>
        </w:tc>
        <w:tc>
          <w:tcPr>
            <w:tcW w:w="1567" w:type="dxa"/>
            <w:tcBorders/>
            <w:vAlign w:val="center"/>
          </w:tcPr>
          <w:p>
            <w:pPr>
              <w:pStyle w:val="TableContents"/>
              <w:bidi w:val="0"/>
              <w:spacing w:before="0" w:after="283"/>
              <w:jc w:val="left"/>
              <w:rPr/>
            </w:pPr>
            <w:r>
              <w:rPr/>
              <w:t>02/28/2025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728</w:t>
            </w:r>
          </w:p>
        </w:tc>
        <w:tc>
          <w:tcPr>
            <w:tcW w:w="1046" w:type="dxa"/>
            <w:tcBorders/>
            <w:vAlign w:val="center"/>
          </w:tcPr>
          <w:p>
            <w:pPr>
              <w:pStyle w:val="TableContents"/>
              <w:bidi w:val="0"/>
              <w:spacing w:before="0" w:after="283"/>
              <w:jc w:val="left"/>
              <w:rPr/>
            </w:pPr>
            <w:r>
              <w:rPr/>
              <w:t>06/20/2024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10272</w:t>
            </w:r>
          </w:p>
        </w:tc>
        <w:tc>
          <w:tcPr>
            <w:tcW w:w="1046" w:type="dxa"/>
            <w:tcBorders/>
            <w:vAlign w:val="center"/>
          </w:tcPr>
          <w:p>
            <w:pPr>
              <w:pStyle w:val="TableContents"/>
              <w:bidi w:val="0"/>
              <w:spacing w:before="0" w:after="283"/>
              <w:jc w:val="left"/>
              <w:rPr/>
            </w:pPr>
            <w:r>
              <w:rPr/>
              <w:t>09/19/2024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02/28/2025</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Gerardo Ibarra-Munoz, as a duly authorized representative of Fidelity Brokerage Services LLC, as attorney-in-fact for Susan Stick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3133</Characters>
  <CharactersWithSpaces>3680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