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42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429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Rice David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392,474</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09/20/2026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5"/>
              </w:rPr>
              <w:t>100,000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10/24/2027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5"/>
              </w:rPr>
              <w:t>125,392</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10/30/2028</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89"/>
              </w:rPr>
              <w:t>10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9.55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04/07/2030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5"/>
              </w:rPr>
              <w:t>120,000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4.35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02/02/2031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8"/>
              </w:rPr>
              <w:t>93,500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8.89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5"/>
              </w:rPr>
              <w:t>116,754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10.49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1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317,570 shares of the Issuer's common stock underlying 952,710 Chess Depositary Interests ("CDIs"). The CDIs are traded on the Australian Securities Exchange (the "ASX") and are held by CHESS Depositary Nominees Pty, Limited, a subsidiary of ASX Limited, the company that operates the ASX. Also includes 62,300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May 7, 2020,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March 1, 2021,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April 1, 2022,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5/25/2022.</w:t>
      </w:r>
    </w:p>
    <w:p>
      <w:pPr>
        <w:ind w:right="70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David William Rice Name: David William Rice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923"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2022-06-27T18:24:07Z</dcterms:created>
  <dcterms:modified xsi:type="dcterms:W3CDTF">2022-06-27T18:24:07Z</dcterms:modified>
</cp:coreProperties>
</file>