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February 27, 2025</w:t>
      </w:r>
    </w:p>
    <w:p>
      <w:pPr>
        <w:spacing w:after="0" w:line="20"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Registration No. 333-       </w:t>
      </w:r>
    </w:p>
    <w:p>
      <w:pPr>
        <w:spacing w:after="0" w:line="3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39"/>
        <w:spacing w:after="0" w:line="227" w:lineRule="auto"/>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19"/>
          <w:szCs w:val="19"/>
          <w:b w:val="1"/>
          <w:bCs w:val="1"/>
          <w:color w:val="auto"/>
        </w:rPr>
        <w:t>______________</w:t>
      </w:r>
    </w:p>
    <w:p>
      <w:pPr>
        <w:spacing w:after="0" w:line="200"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37"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ind w:right="-139"/>
        <w:spacing w:after="0" w:line="230" w:lineRule="auto"/>
        <w:rPr>
          <w:sz w:val="20"/>
          <w:szCs w:val="20"/>
          <w:color w:val="auto"/>
        </w:rPr>
      </w:pPr>
      <w:r>
        <w:rPr>
          <w:rFonts w:ascii="Times New Roman" w:cs="Times New Roman" w:eastAsia="Times New Roman" w:hAnsi="Times New Roman"/>
          <w:sz w:val="22"/>
          <w:szCs w:val="22"/>
          <w:b w:val="1"/>
          <w:bCs w:val="1"/>
          <w:color w:val="auto"/>
        </w:rPr>
        <w:t>UNDER</w:t>
      </w:r>
    </w:p>
    <w:p>
      <w:pPr>
        <w:jc w:val="center"/>
        <w:ind w:right="-139"/>
        <w:spacing w:after="0" w:line="215" w:lineRule="auto"/>
        <w:rPr>
          <w:sz w:val="20"/>
          <w:szCs w:val="20"/>
          <w:color w:val="auto"/>
        </w:rPr>
      </w:pPr>
      <w:r>
        <w:rPr>
          <w:rFonts w:ascii="Times New Roman" w:cs="Times New Roman" w:eastAsia="Times New Roman" w:hAnsi="Times New Roman"/>
          <w:sz w:val="22"/>
          <w:szCs w:val="22"/>
          <w:b w:val="1"/>
          <w:bCs w:val="1"/>
          <w:color w:val="auto"/>
        </w:rPr>
        <w:t>THE SECURITIES ACT OF 1933</w:t>
      </w:r>
    </w:p>
    <w:p>
      <w:pPr>
        <w:ind w:left="4960"/>
        <w:spacing w:after="0"/>
        <w:rPr>
          <w:sz w:val="20"/>
          <w:szCs w:val="20"/>
          <w:color w:val="auto"/>
        </w:rPr>
      </w:pPr>
      <w:r>
        <w:rPr>
          <w:rFonts w:ascii="Times New Roman" w:cs="Times New Roman" w:eastAsia="Times New Roman" w:hAnsi="Times New Roman"/>
          <w:sz w:val="19"/>
          <w:szCs w:val="19"/>
          <w:b w:val="1"/>
          <w:bCs w:val="1"/>
          <w:color w:val="auto"/>
        </w:rPr>
        <w:t>______________</w:t>
      </w:r>
    </w:p>
    <w:p>
      <w:pPr>
        <w:spacing w:after="0" w:line="182"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43"/>
          <w:szCs w:val="43"/>
          <w:b w:val="1"/>
          <w:bCs w:val="1"/>
          <w:color w:val="auto"/>
        </w:rPr>
        <w:t>Life360, Inc.</w:t>
      </w:r>
    </w:p>
    <w:p>
      <w:pPr>
        <w:spacing w:after="0" w:line="4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19"/>
          <w:szCs w:val="19"/>
          <w:b w:val="1"/>
          <w:bCs w:val="1"/>
          <w:color w:val="auto"/>
        </w:rPr>
        <w:t>______________</w:t>
      </w:r>
    </w:p>
    <w:p>
      <w:pPr>
        <w:spacing w:after="0" w:line="265" w:lineRule="exact"/>
        <w:rPr>
          <w:sz w:val="24"/>
          <w:szCs w:val="24"/>
          <w:color w:val="auto"/>
        </w:rPr>
      </w:pPr>
    </w:p>
    <w:tbl>
      <w:tblPr>
        <w:tblLayout w:type="fixed"/>
        <w:tblInd w:w="1340" w:type="dxa"/>
        <w:tblCellMar>
          <w:top w:w="0" w:type="dxa"/>
          <w:left w:w="0" w:type="dxa"/>
          <w:bottom w:w="0" w:type="dxa"/>
          <w:right w:w="0" w:type="dxa"/>
        </w:tblCellMar>
      </w:tblPr>
      <w:tr>
        <w:trPr>
          <w:trHeight w:val="252"/>
        </w:trPr>
        <w:tc>
          <w:tcPr>
            <w:tcW w:w="6280" w:type="dxa"/>
            <w:vAlign w:val="bottom"/>
          </w:tcPr>
          <w:p>
            <w:pPr>
              <w:jc w:val="center"/>
              <w:ind w:right="3233"/>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4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26-0197666</w:t>
            </w:r>
          </w:p>
        </w:tc>
      </w:tr>
      <w:tr>
        <w:trPr>
          <w:trHeight w:val="252"/>
        </w:trPr>
        <w:tc>
          <w:tcPr>
            <w:tcW w:w="6280" w:type="dxa"/>
            <w:vAlign w:val="bottom"/>
          </w:tcPr>
          <w:p>
            <w:pPr>
              <w:jc w:val="center"/>
              <w:ind w:right="3233"/>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14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6280" w:type="dxa"/>
            <w:vAlign w:val="bottom"/>
          </w:tcPr>
          <w:p>
            <w:pPr>
              <w:jc w:val="center"/>
              <w:ind w:right="3233"/>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14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518"/>
        </w:trPr>
        <w:tc>
          <w:tcPr>
            <w:tcW w:w="6280" w:type="dxa"/>
            <w:vAlign w:val="bottom"/>
          </w:tcPr>
          <w:p>
            <w:pPr>
              <w:jc w:val="center"/>
              <w:ind w:right="3233"/>
              <w:spacing w:after="0"/>
              <w:rPr>
                <w:sz w:val="20"/>
                <w:szCs w:val="20"/>
                <w:color w:val="auto"/>
              </w:rPr>
            </w:pPr>
            <w:r>
              <w:rPr>
                <w:rFonts w:ascii="Times New Roman" w:cs="Times New Roman" w:eastAsia="Times New Roman" w:hAnsi="Times New Roman"/>
                <w:sz w:val="18"/>
                <w:szCs w:val="18"/>
                <w:b w:val="1"/>
                <w:bCs w:val="1"/>
                <w:color w:val="auto"/>
                <w:w w:val="99"/>
              </w:rPr>
              <w:t>1900 South Norfolk Street, Suite 310</w:t>
            </w:r>
          </w:p>
        </w:tc>
        <w:tc>
          <w:tcPr>
            <w:tcW w:w="14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94403</w:t>
            </w:r>
          </w:p>
        </w:tc>
      </w:tr>
      <w:tr>
        <w:trPr>
          <w:trHeight w:val="238"/>
        </w:trPr>
        <w:tc>
          <w:tcPr>
            <w:tcW w:w="6280" w:type="dxa"/>
            <w:vAlign w:val="bottom"/>
          </w:tcPr>
          <w:p>
            <w:pPr>
              <w:jc w:val="center"/>
              <w:ind w:right="3253"/>
              <w:spacing w:after="0"/>
              <w:rPr>
                <w:sz w:val="20"/>
                <w:szCs w:val="20"/>
                <w:color w:val="auto"/>
              </w:rPr>
            </w:pPr>
            <w:r>
              <w:rPr>
                <w:rFonts w:ascii="Times New Roman" w:cs="Times New Roman" w:eastAsia="Times New Roman" w:hAnsi="Times New Roman"/>
                <w:sz w:val="18"/>
                <w:szCs w:val="18"/>
                <w:b w:val="1"/>
                <w:bCs w:val="1"/>
                <w:color w:val="auto"/>
              </w:rPr>
              <w:t>San Mateo, CA</w:t>
            </w:r>
          </w:p>
        </w:tc>
        <w:tc>
          <w:tcPr>
            <w:tcW w:w="1480" w:type="dxa"/>
            <w:vAlign w:val="bottom"/>
          </w:tcPr>
          <w:p>
            <w:pPr>
              <w:spacing w:after="0"/>
              <w:rPr>
                <w:sz w:val="20"/>
                <w:szCs w:val="20"/>
                <w:color w:val="auto"/>
              </w:rPr>
            </w:pPr>
          </w:p>
        </w:tc>
      </w:tr>
      <w:tr>
        <w:trPr>
          <w:trHeight w:val="283"/>
        </w:trPr>
        <w:tc>
          <w:tcPr>
            <w:tcW w:w="6280" w:type="dxa"/>
            <w:vAlign w:val="bottom"/>
          </w:tcPr>
          <w:p>
            <w:pPr>
              <w:jc w:val="center"/>
              <w:ind w:right="3253"/>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4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286"/>
        </w:trPr>
        <w:tc>
          <w:tcPr>
            <w:tcW w:w="6280" w:type="dxa"/>
            <w:vAlign w:val="bottom"/>
          </w:tcPr>
          <w:p>
            <w:pPr>
              <w:jc w:val="center"/>
              <w:ind w:left="2213"/>
              <w:spacing w:after="0"/>
              <w:rPr>
                <w:sz w:val="20"/>
                <w:szCs w:val="20"/>
                <w:color w:val="auto"/>
              </w:rPr>
            </w:pPr>
            <w:r>
              <w:rPr>
                <w:rFonts w:ascii="Times New Roman" w:cs="Times New Roman" w:eastAsia="Times New Roman" w:hAnsi="Times New Roman"/>
                <w:sz w:val="18"/>
                <w:szCs w:val="18"/>
                <w:b w:val="1"/>
                <w:bCs w:val="1"/>
                <w:color w:val="auto"/>
                <w:w w:val="99"/>
              </w:rPr>
              <w:t>Amended and Restated 2011 Stock Plan</w:t>
            </w:r>
          </w:p>
        </w:tc>
        <w:tc>
          <w:tcPr>
            <w:tcW w:w="1480" w:type="dxa"/>
            <w:vAlign w:val="bottom"/>
          </w:tcPr>
          <w:p>
            <w:pPr>
              <w:spacing w:after="0"/>
              <w:rPr>
                <w:sz w:val="24"/>
                <w:szCs w:val="24"/>
                <w:color w:val="auto"/>
              </w:rPr>
            </w:pPr>
          </w:p>
        </w:tc>
      </w:tr>
      <w:tr>
        <w:trPr>
          <w:trHeight w:val="151"/>
        </w:trPr>
        <w:tc>
          <w:tcPr>
            <w:tcW w:w="6280" w:type="dxa"/>
            <w:vAlign w:val="bottom"/>
          </w:tcPr>
          <w:p>
            <w:pPr>
              <w:jc w:val="center"/>
              <w:ind w:left="2193"/>
              <w:spacing w:after="0" w:line="151" w:lineRule="exact"/>
              <w:rPr>
                <w:sz w:val="20"/>
                <w:szCs w:val="20"/>
                <w:color w:val="auto"/>
              </w:rPr>
            </w:pPr>
            <w:r>
              <w:rPr>
                <w:rFonts w:ascii="Times New Roman" w:cs="Times New Roman" w:eastAsia="Times New Roman" w:hAnsi="Times New Roman"/>
                <w:sz w:val="14"/>
                <w:szCs w:val="14"/>
                <w:b w:val="1"/>
                <w:bCs w:val="1"/>
                <w:color w:val="auto"/>
              </w:rPr>
              <w:t>(Full title of the plan)</w:t>
            </w:r>
          </w:p>
        </w:tc>
        <w:tc>
          <w:tcPr>
            <w:tcW w:w="1480" w:type="dxa"/>
            <w:vAlign w:val="bottom"/>
          </w:tcPr>
          <w:p>
            <w:pPr>
              <w:spacing w:after="0"/>
              <w:rPr>
                <w:sz w:val="13"/>
                <w:szCs w:val="13"/>
                <w:color w:val="auto"/>
              </w:rPr>
            </w:pPr>
          </w:p>
        </w:tc>
      </w:tr>
      <w:tr>
        <w:trPr>
          <w:trHeight w:val="203"/>
        </w:trPr>
        <w:tc>
          <w:tcPr>
            <w:tcW w:w="6280" w:type="dxa"/>
            <w:vAlign w:val="bottom"/>
          </w:tcPr>
          <w:p>
            <w:pPr>
              <w:jc w:val="center"/>
              <w:ind w:left="2213"/>
              <w:spacing w:after="0" w:line="202" w:lineRule="exact"/>
              <w:rPr>
                <w:sz w:val="20"/>
                <w:szCs w:val="20"/>
                <w:color w:val="auto"/>
              </w:rPr>
            </w:pPr>
            <w:r>
              <w:rPr>
                <w:rFonts w:ascii="Times New Roman" w:cs="Times New Roman" w:eastAsia="Times New Roman" w:hAnsi="Times New Roman"/>
                <w:sz w:val="18"/>
                <w:szCs w:val="18"/>
                <w:b w:val="1"/>
                <w:bCs w:val="1"/>
                <w:color w:val="auto"/>
              </w:rPr>
              <w:t>Susan Stick</w:t>
            </w:r>
          </w:p>
        </w:tc>
        <w:tc>
          <w:tcPr>
            <w:tcW w:w="1480" w:type="dxa"/>
            <w:vAlign w:val="bottom"/>
          </w:tcPr>
          <w:p>
            <w:pPr>
              <w:spacing w:after="0"/>
              <w:rPr>
                <w:sz w:val="17"/>
                <w:szCs w:val="17"/>
                <w:color w:val="auto"/>
              </w:rPr>
            </w:pPr>
          </w:p>
        </w:tc>
      </w:tr>
      <w:tr>
        <w:trPr>
          <w:trHeight w:val="203"/>
        </w:trPr>
        <w:tc>
          <w:tcPr>
            <w:tcW w:w="6280" w:type="dxa"/>
            <w:vAlign w:val="bottom"/>
          </w:tcPr>
          <w:p>
            <w:pPr>
              <w:jc w:val="center"/>
              <w:ind w:left="2193"/>
              <w:spacing w:after="0" w:line="202" w:lineRule="exact"/>
              <w:rPr>
                <w:sz w:val="20"/>
                <w:szCs w:val="20"/>
                <w:color w:val="auto"/>
              </w:rPr>
            </w:pPr>
            <w:r>
              <w:rPr>
                <w:rFonts w:ascii="Times New Roman" w:cs="Times New Roman" w:eastAsia="Times New Roman" w:hAnsi="Times New Roman"/>
                <w:sz w:val="18"/>
                <w:szCs w:val="18"/>
                <w:b w:val="1"/>
                <w:bCs w:val="1"/>
                <w:color w:val="auto"/>
                <w:w w:val="99"/>
              </w:rPr>
              <w:t>General Counsel</w:t>
            </w:r>
          </w:p>
        </w:tc>
        <w:tc>
          <w:tcPr>
            <w:tcW w:w="1480" w:type="dxa"/>
            <w:vAlign w:val="bottom"/>
          </w:tcPr>
          <w:p>
            <w:pPr>
              <w:spacing w:after="0"/>
              <w:rPr>
                <w:sz w:val="17"/>
                <w:szCs w:val="17"/>
                <w:color w:val="auto"/>
              </w:rPr>
            </w:pPr>
          </w:p>
        </w:tc>
      </w:tr>
      <w:tr>
        <w:trPr>
          <w:trHeight w:val="203"/>
        </w:trPr>
        <w:tc>
          <w:tcPr>
            <w:tcW w:w="6280" w:type="dxa"/>
            <w:vAlign w:val="bottom"/>
          </w:tcPr>
          <w:p>
            <w:pPr>
              <w:jc w:val="center"/>
              <w:ind w:left="2193"/>
              <w:spacing w:after="0" w:line="202" w:lineRule="exact"/>
              <w:rPr>
                <w:sz w:val="20"/>
                <w:szCs w:val="20"/>
                <w:color w:val="auto"/>
              </w:rPr>
            </w:pPr>
            <w:r>
              <w:rPr>
                <w:rFonts w:ascii="Times New Roman" w:cs="Times New Roman" w:eastAsia="Times New Roman" w:hAnsi="Times New Roman"/>
                <w:sz w:val="18"/>
                <w:szCs w:val="18"/>
                <w:b w:val="1"/>
                <w:bCs w:val="1"/>
                <w:color w:val="auto"/>
                <w:w w:val="99"/>
              </w:rPr>
              <w:t>Life360, Inc.</w:t>
            </w:r>
          </w:p>
        </w:tc>
        <w:tc>
          <w:tcPr>
            <w:tcW w:w="1480" w:type="dxa"/>
            <w:vAlign w:val="bottom"/>
          </w:tcPr>
          <w:p>
            <w:pPr>
              <w:spacing w:after="0"/>
              <w:rPr>
                <w:sz w:val="17"/>
                <w:szCs w:val="17"/>
                <w:color w:val="auto"/>
              </w:rPr>
            </w:pPr>
          </w:p>
        </w:tc>
      </w:tr>
      <w:tr>
        <w:trPr>
          <w:trHeight w:val="203"/>
        </w:trPr>
        <w:tc>
          <w:tcPr>
            <w:tcW w:w="6280" w:type="dxa"/>
            <w:vAlign w:val="bottom"/>
          </w:tcPr>
          <w:p>
            <w:pPr>
              <w:jc w:val="center"/>
              <w:ind w:left="2193"/>
              <w:spacing w:after="0" w:line="202" w:lineRule="exact"/>
              <w:rPr>
                <w:sz w:val="20"/>
                <w:szCs w:val="20"/>
                <w:color w:val="auto"/>
              </w:rPr>
            </w:pPr>
            <w:r>
              <w:rPr>
                <w:rFonts w:ascii="Times New Roman" w:cs="Times New Roman" w:eastAsia="Times New Roman" w:hAnsi="Times New Roman"/>
                <w:sz w:val="18"/>
                <w:szCs w:val="18"/>
                <w:b w:val="1"/>
                <w:bCs w:val="1"/>
                <w:color w:val="auto"/>
                <w:w w:val="99"/>
              </w:rPr>
              <w:t>1900 South Norfolk Street, Suite 310</w:t>
            </w:r>
          </w:p>
        </w:tc>
        <w:tc>
          <w:tcPr>
            <w:tcW w:w="1480" w:type="dxa"/>
            <w:vAlign w:val="bottom"/>
          </w:tcPr>
          <w:p>
            <w:pPr>
              <w:spacing w:after="0"/>
              <w:rPr>
                <w:sz w:val="17"/>
                <w:szCs w:val="17"/>
                <w:color w:val="auto"/>
              </w:rPr>
            </w:pPr>
          </w:p>
        </w:tc>
      </w:tr>
      <w:tr>
        <w:trPr>
          <w:trHeight w:val="214"/>
        </w:trPr>
        <w:tc>
          <w:tcPr>
            <w:tcW w:w="6280" w:type="dxa"/>
            <w:vAlign w:val="bottom"/>
          </w:tcPr>
          <w:p>
            <w:pPr>
              <w:jc w:val="center"/>
              <w:ind w:left="2193"/>
              <w:spacing w:after="0"/>
              <w:rPr>
                <w:sz w:val="20"/>
                <w:szCs w:val="20"/>
                <w:color w:val="auto"/>
              </w:rPr>
            </w:pPr>
            <w:r>
              <w:rPr>
                <w:rFonts w:ascii="Times New Roman" w:cs="Times New Roman" w:eastAsia="Times New Roman" w:hAnsi="Times New Roman"/>
                <w:sz w:val="18"/>
                <w:szCs w:val="18"/>
                <w:b w:val="1"/>
                <w:bCs w:val="1"/>
                <w:color w:val="auto"/>
                <w:w w:val="99"/>
              </w:rPr>
              <w:t>San Mateo, California 94107</w:t>
            </w:r>
          </w:p>
        </w:tc>
        <w:tc>
          <w:tcPr>
            <w:tcW w:w="1480" w:type="dxa"/>
            <w:vAlign w:val="bottom"/>
          </w:tcPr>
          <w:p>
            <w:pPr>
              <w:spacing w:after="0"/>
              <w:rPr>
                <w:sz w:val="18"/>
                <w:szCs w:val="18"/>
                <w:color w:val="auto"/>
              </w:rPr>
            </w:pPr>
          </w:p>
        </w:tc>
      </w:tr>
      <w:tr>
        <w:trPr>
          <w:trHeight w:val="151"/>
        </w:trPr>
        <w:tc>
          <w:tcPr>
            <w:tcW w:w="6280" w:type="dxa"/>
            <w:vAlign w:val="bottom"/>
          </w:tcPr>
          <w:p>
            <w:pPr>
              <w:jc w:val="center"/>
              <w:ind w:left="2193"/>
              <w:spacing w:after="0" w:line="151" w:lineRule="exact"/>
              <w:rPr>
                <w:sz w:val="20"/>
                <w:szCs w:val="20"/>
                <w:color w:val="auto"/>
              </w:rPr>
            </w:pPr>
            <w:r>
              <w:rPr>
                <w:rFonts w:ascii="Times New Roman" w:cs="Times New Roman" w:eastAsia="Times New Roman" w:hAnsi="Times New Roman"/>
                <w:sz w:val="14"/>
                <w:szCs w:val="14"/>
                <w:b w:val="1"/>
                <w:bCs w:val="1"/>
                <w:color w:val="auto"/>
              </w:rPr>
              <w:t>(Name and address of agent for service)</w:t>
            </w:r>
          </w:p>
        </w:tc>
        <w:tc>
          <w:tcPr>
            <w:tcW w:w="1480" w:type="dxa"/>
            <w:vAlign w:val="bottom"/>
          </w:tcPr>
          <w:p>
            <w:pPr>
              <w:spacing w:after="0"/>
              <w:rPr>
                <w:sz w:val="13"/>
                <w:szCs w:val="13"/>
                <w:color w:val="auto"/>
              </w:rPr>
            </w:pPr>
          </w:p>
        </w:tc>
      </w:tr>
      <w:tr>
        <w:trPr>
          <w:trHeight w:val="214"/>
        </w:trPr>
        <w:tc>
          <w:tcPr>
            <w:tcW w:w="6280" w:type="dxa"/>
            <w:vAlign w:val="bottom"/>
          </w:tcPr>
          <w:p>
            <w:pPr>
              <w:jc w:val="center"/>
              <w:ind w:left="2213"/>
              <w:spacing w:after="0"/>
              <w:rPr>
                <w:sz w:val="20"/>
                <w:szCs w:val="20"/>
                <w:color w:val="auto"/>
              </w:rPr>
            </w:pPr>
            <w:r>
              <w:rPr>
                <w:rFonts w:ascii="Times New Roman" w:cs="Times New Roman" w:eastAsia="Times New Roman" w:hAnsi="Times New Roman"/>
                <w:sz w:val="18"/>
                <w:szCs w:val="18"/>
                <w:b w:val="1"/>
                <w:bCs w:val="1"/>
                <w:color w:val="auto"/>
                <w:w w:val="99"/>
              </w:rPr>
              <w:t>Telephone: (415) 484-5244</w:t>
            </w:r>
          </w:p>
        </w:tc>
        <w:tc>
          <w:tcPr>
            <w:tcW w:w="1480" w:type="dxa"/>
            <w:vAlign w:val="bottom"/>
          </w:tcPr>
          <w:p>
            <w:pPr>
              <w:spacing w:after="0"/>
              <w:rPr>
                <w:sz w:val="18"/>
                <w:szCs w:val="18"/>
                <w:color w:val="auto"/>
              </w:rPr>
            </w:pPr>
          </w:p>
        </w:tc>
      </w:tr>
      <w:tr>
        <w:trPr>
          <w:trHeight w:val="146"/>
        </w:trPr>
        <w:tc>
          <w:tcPr>
            <w:tcW w:w="6280" w:type="dxa"/>
            <w:vAlign w:val="bottom"/>
          </w:tcPr>
          <w:p>
            <w:pPr>
              <w:jc w:val="center"/>
              <w:ind w:left="2213"/>
              <w:spacing w:after="0" w:line="146" w:lineRule="exact"/>
              <w:rPr>
                <w:sz w:val="20"/>
                <w:szCs w:val="20"/>
                <w:color w:val="auto"/>
              </w:rPr>
            </w:pPr>
            <w:r>
              <w:rPr>
                <w:rFonts w:ascii="Times New Roman" w:cs="Times New Roman" w:eastAsia="Times New Roman" w:hAnsi="Times New Roman"/>
                <w:sz w:val="14"/>
                <w:szCs w:val="14"/>
                <w:b w:val="1"/>
                <w:bCs w:val="1"/>
                <w:color w:val="auto"/>
              </w:rPr>
              <w:t>(Telephone number, including area code, of agent for service)</w:t>
            </w:r>
          </w:p>
        </w:tc>
        <w:tc>
          <w:tcPr>
            <w:tcW w:w="1480" w:type="dxa"/>
            <w:vAlign w:val="bottom"/>
          </w:tcPr>
          <w:p>
            <w:pPr>
              <w:spacing w:after="0"/>
              <w:rPr>
                <w:sz w:val="12"/>
                <w:szCs w:val="12"/>
                <w:color w:val="auto"/>
              </w:rPr>
            </w:pPr>
          </w:p>
        </w:tc>
      </w:tr>
      <w:tr>
        <w:trPr>
          <w:trHeight w:val="248"/>
        </w:trPr>
        <w:tc>
          <w:tcPr>
            <w:tcW w:w="6280" w:type="dxa"/>
            <w:vAlign w:val="bottom"/>
          </w:tcPr>
          <w:p>
            <w:pPr>
              <w:jc w:val="center"/>
              <w:ind w:left="2193"/>
              <w:spacing w:after="0"/>
              <w:rPr>
                <w:sz w:val="20"/>
                <w:szCs w:val="20"/>
                <w:color w:val="auto"/>
              </w:rPr>
            </w:pPr>
            <w:r>
              <w:rPr>
                <w:rFonts w:ascii="Times New Roman" w:cs="Times New Roman" w:eastAsia="Times New Roman" w:hAnsi="Times New Roman"/>
                <w:sz w:val="19"/>
                <w:szCs w:val="19"/>
                <w:b w:val="1"/>
                <w:bCs w:val="1"/>
                <w:color w:val="auto"/>
                <w:w w:val="99"/>
              </w:rPr>
              <w:t>______________</w:t>
            </w:r>
          </w:p>
        </w:tc>
        <w:tc>
          <w:tcPr>
            <w:tcW w:w="1480" w:type="dxa"/>
            <w:vAlign w:val="bottom"/>
          </w:tcPr>
          <w:p>
            <w:pPr>
              <w:spacing w:after="0"/>
              <w:rPr>
                <w:sz w:val="21"/>
                <w:szCs w:val="21"/>
                <w:color w:val="auto"/>
              </w:rPr>
            </w:pPr>
          </w:p>
        </w:tc>
      </w:tr>
    </w:tbl>
    <w:p>
      <w:pPr>
        <w:spacing w:after="0" w:line="202"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1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Natalie Karam Carlton Fleming Martin A. Wellington</w:t>
      </w:r>
    </w:p>
    <w:p>
      <w:pPr>
        <w:jc w:val="center"/>
        <w:ind w:right="-139"/>
        <w:spacing w:after="0" w:line="234" w:lineRule="auto"/>
        <w:rPr>
          <w:sz w:val="20"/>
          <w:szCs w:val="20"/>
          <w:color w:val="auto"/>
        </w:rPr>
      </w:pPr>
      <w:r>
        <w:rPr>
          <w:rFonts w:ascii="Times New Roman" w:cs="Times New Roman" w:eastAsia="Times New Roman" w:hAnsi="Times New Roman"/>
          <w:sz w:val="18"/>
          <w:szCs w:val="18"/>
          <w:b w:val="1"/>
          <w:bCs w:val="1"/>
          <w:color w:val="auto"/>
        </w:rPr>
        <w:t>Sidley Austin LLP</w:t>
      </w:r>
    </w:p>
    <w:p>
      <w:pPr>
        <w:jc w:val="center"/>
        <w:ind w:right="-139"/>
        <w:spacing w:after="0" w:line="235" w:lineRule="auto"/>
        <w:rPr>
          <w:sz w:val="20"/>
          <w:szCs w:val="20"/>
          <w:color w:val="auto"/>
        </w:rPr>
      </w:pPr>
      <w:r>
        <w:rPr>
          <w:rFonts w:ascii="Times New Roman" w:cs="Times New Roman" w:eastAsia="Times New Roman" w:hAnsi="Times New Roman"/>
          <w:sz w:val="18"/>
          <w:szCs w:val="18"/>
          <w:b w:val="1"/>
          <w:bCs w:val="1"/>
          <w:color w:val="auto"/>
        </w:rPr>
        <w:t>555 California Street Suite 2000,</w:t>
      </w:r>
    </w:p>
    <w:p>
      <w:pPr>
        <w:jc w:val="center"/>
        <w:ind w:right="-139"/>
        <w:spacing w:after="0" w:line="235" w:lineRule="auto"/>
        <w:rPr>
          <w:sz w:val="20"/>
          <w:szCs w:val="20"/>
          <w:color w:val="auto"/>
        </w:rPr>
      </w:pPr>
      <w:r>
        <w:rPr>
          <w:rFonts w:ascii="Times New Roman" w:cs="Times New Roman" w:eastAsia="Times New Roman" w:hAnsi="Times New Roman"/>
          <w:sz w:val="18"/>
          <w:szCs w:val="18"/>
          <w:b w:val="1"/>
          <w:bCs w:val="1"/>
          <w:color w:val="auto"/>
        </w:rPr>
        <w:t>San Francisco, CA 94104</w:t>
      </w: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(415) 772-1200</w:t>
      </w:r>
    </w:p>
    <w:p>
      <w:pPr>
        <w:spacing w:after="0" w:line="200" w:lineRule="exact"/>
        <w:rPr>
          <w:sz w:val="24"/>
          <w:szCs w:val="24"/>
          <w:color w:val="auto"/>
        </w:rPr>
      </w:pPr>
    </w:p>
    <w:p>
      <w:pPr>
        <w:spacing w:after="0" w:line="248" w:lineRule="exact"/>
        <w:rPr>
          <w:sz w:val="24"/>
          <w:szCs w:val="24"/>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30" w:lineRule="exact"/>
        <w:rPr>
          <w:sz w:val="24"/>
          <w:szCs w:val="24"/>
          <w:color w:val="auto"/>
        </w:rPr>
      </w:pPr>
    </w:p>
    <w:tbl>
      <w:tblPr>
        <w:tblLayout w:type="fixed"/>
        <w:tblInd w:w="20" w:type="dxa"/>
        <w:tblCellMar>
          <w:top w:w="0" w:type="dxa"/>
          <w:left w:w="0" w:type="dxa"/>
          <w:bottom w:w="0" w:type="dxa"/>
          <w:right w:w="0" w:type="dxa"/>
        </w:tblCellMar>
      </w:tblPr>
      <w:tr>
        <w:trPr>
          <w:trHeight w:val="257"/>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380" w:type="dxa"/>
            <w:vAlign w:val="bottom"/>
          </w:tcPr>
          <w:p>
            <w:pPr>
              <w:ind w:left="1140"/>
              <w:spacing w:after="0" w:line="181" w:lineRule="exact"/>
              <w:rPr>
                <w:sz w:val="20"/>
                <w:szCs w:val="20"/>
                <w:color w:val="auto"/>
              </w:rPr>
            </w:pPr>
            <w:r>
              <w:rPr>
                <w:rFonts w:ascii="MS PGothic" w:cs="MS PGothic" w:eastAsia="MS PGothic" w:hAnsi="MS PGothic"/>
                <w:sz w:val="18"/>
                <w:szCs w:val="18"/>
                <w:color w:val="auto"/>
              </w:rPr>
              <w:t>☒</w:t>
            </w:r>
          </w:p>
        </w:tc>
        <w:tc>
          <w:tcPr>
            <w:tcW w:w="422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Accelerated filer</w:t>
            </w:r>
          </w:p>
        </w:tc>
        <w:tc>
          <w:tcPr>
            <w:tcW w:w="1300" w:type="dxa"/>
            <w:vAlign w:val="bottom"/>
          </w:tcPr>
          <w:p>
            <w:pPr>
              <w:ind w:left="11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6"/>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380" w:type="dxa"/>
            <w:vAlign w:val="bottom"/>
          </w:tcPr>
          <w:p>
            <w:pPr>
              <w:ind w:left="1140"/>
              <w:spacing w:after="0" w:line="181" w:lineRule="exact"/>
              <w:rPr>
                <w:sz w:val="20"/>
                <w:szCs w:val="20"/>
                <w:color w:val="auto"/>
              </w:rPr>
            </w:pPr>
            <w:r>
              <w:rPr>
                <w:rFonts w:ascii="MS PGothic" w:cs="MS PGothic" w:eastAsia="MS PGothic" w:hAnsi="MS PGothic"/>
                <w:sz w:val="18"/>
                <w:szCs w:val="18"/>
                <w:color w:val="auto"/>
              </w:rPr>
              <w:t>☐</w:t>
            </w:r>
          </w:p>
        </w:tc>
        <w:tc>
          <w:tcPr>
            <w:tcW w:w="422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300" w:type="dxa"/>
            <w:vAlign w:val="bottom"/>
          </w:tcPr>
          <w:p>
            <w:pPr>
              <w:ind w:left="11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2380" w:type="dxa"/>
            <w:vAlign w:val="bottom"/>
          </w:tcPr>
          <w:p>
            <w:pPr>
              <w:ind w:left="1140"/>
              <w:spacing w:after="0" w:line="181" w:lineRule="exact"/>
              <w:rPr>
                <w:sz w:val="20"/>
                <w:szCs w:val="20"/>
                <w:color w:val="auto"/>
              </w:rPr>
            </w:pPr>
            <w:r>
              <w:rPr>
                <w:rFonts w:ascii="MS PGothic" w:cs="MS PGothic" w:eastAsia="MS PGothic" w:hAnsi="MS PGothic"/>
                <w:sz w:val="18"/>
                <w:szCs w:val="18"/>
                <w:color w:val="auto"/>
              </w:rPr>
              <w:t>☐</w:t>
            </w:r>
          </w:p>
        </w:tc>
        <w:tc>
          <w:tcPr>
            <w:tcW w:w="422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100"/>
          </w:cols>
          <w:pgMar w:left="320" w:top="212" w:right="479" w:bottom="1440" w:gutter="0" w:footer="0" w:header="0"/>
        </w:sectPr>
      </w:pPr>
    </w:p>
    <w:bookmarkStart w:id="1" w:name="page2"/>
    <w:bookmarkEnd w:id="1"/>
    <w:p>
      <w:pPr>
        <w:ind w:right="140"/>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196850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Life360, Inc. (the “Registrant”) is filing this registration statement on Form S-8 (the “Registration Statement”) with the Securities and Exchange Commission (the “SEC”) to register the offering of an additional 3,770,249 shares (the “Registered Shares”) of Common Stock, par value $0.001 per share (“Common Stock”), of the Registrant. The 3,770,249 shares of Common Stock being registered herein are issuable pursuant to the Life360, Inc. Amended and Restated 2011 Stock Plan (the “Stock Plan”). These additional shares of Common Stock are securities of the same class as other securities for which previous registration statements on Form S-8 were filed with the SEC on November 22, 2022 (File No. 333-268529), September 27, 2023 (File No. 333-274727) and March 1, 2024 (File No. 333-277598) (the “Prior Registration Statements”). Accordingly, the contents of the Prior Registration Statements are incorporated by reference into this Registration Statement pursuant to General Instruction E of Form S-8. The Registered Shares represent shares of Common Stock reserved for issuance as a result of the operation of the “evergreen” provision in the Stock Plan, which provides that the total number of shares subject to the Stock Plan may be increased on January 1 of each year pursuant to a specified formula.</w:t>
      </w:r>
    </w:p>
    <w:p>
      <w:pPr>
        <w:spacing w:after="0" w:line="1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Life360, Inc. (the “Registrant”) hereby incorporates by reference into this Registration Statement the following documents previously filed with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Commission:</w:t>
      </w:r>
    </w:p>
    <w:p>
      <w:pPr>
        <w:spacing w:after="0" w:line="274" w:lineRule="exact"/>
        <w:rPr>
          <w:sz w:val="20"/>
          <w:szCs w:val="20"/>
          <w:color w:val="auto"/>
        </w:rPr>
      </w:pPr>
    </w:p>
    <w:p>
      <w:pPr>
        <w:ind w:left="1000" w:right="260" w:hanging="434"/>
        <w:spacing w:after="0" w:line="245" w:lineRule="auto"/>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Company’s Annual Report on </w:t>
      </w:r>
      <w:hyperlink r:id="rId12">
        <w:r>
          <w:rPr>
            <w:rFonts w:ascii="Times New Roman" w:cs="Times New Roman" w:eastAsia="Times New Roman" w:hAnsi="Times New Roman"/>
            <w:sz w:val="18"/>
            <w:szCs w:val="18"/>
            <w:color w:val="0000FF"/>
          </w:rPr>
          <w:t>Form 10-K</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for the year ended December 31, 2024, filed with the SEC on February 27, 2025 (the “2024 Form 10-K”); and</w:t>
      </w:r>
    </w:p>
    <w:p>
      <w:pPr>
        <w:ind w:left="1000" w:right="180" w:hanging="434"/>
        <w:spacing w:after="0" w:line="229" w:lineRule="auto"/>
        <w:tabs>
          <w:tab w:leader="none" w:pos="1000" w:val="left"/>
        </w:tabs>
        <w:numPr>
          <w:ilvl w:val="0"/>
          <w:numId w:val="1"/>
        </w:numPr>
        <w:rPr>
          <w:rFonts w:ascii="Times New Roman" w:cs="Times New Roman" w:eastAsia="Times New Roman" w:hAnsi="Times New Roman"/>
          <w:sz w:val="18"/>
          <w:szCs w:val="18"/>
          <w:color w:val="0000FF"/>
        </w:rPr>
      </w:pPr>
      <w:hyperlink r:id="rId13">
        <w:r>
          <w:rPr>
            <w:rFonts w:ascii="Times New Roman" w:cs="Times New Roman" w:eastAsia="Times New Roman" w:hAnsi="Times New Roman"/>
            <w:sz w:val="18"/>
            <w:szCs w:val="18"/>
            <w:color w:val="auto"/>
          </w:rPr>
          <w:t xml:space="preserve">The description of the Registrant’s Common Stock set forth in </w:t>
        </w:r>
        <w:r>
          <w:rPr>
            <w:rFonts w:ascii="Times New Roman" w:cs="Times New Roman" w:eastAsia="Times New Roman" w:hAnsi="Times New Roman"/>
            <w:sz w:val="18"/>
            <w:szCs w:val="18"/>
            <w:color w:val="0000FF"/>
          </w:rPr>
          <w:t>Item 11 to the Registrant’s Amendment No. 2 to Registration Statement on</w:t>
        </w:r>
      </w:hyperlink>
      <w:r>
        <w:rPr>
          <w:rFonts w:ascii="Times New Roman" w:cs="Times New Roman" w:eastAsia="Times New Roman" w:hAnsi="Times New Roman"/>
          <w:sz w:val="18"/>
          <w:szCs w:val="18"/>
          <w:color w:val="auto"/>
        </w:rPr>
        <w:t xml:space="preserve"> </w:t>
      </w:r>
      <w:hyperlink r:id="rId13">
        <w:r>
          <w:rPr>
            <w:rFonts w:ascii="Times New Roman" w:cs="Times New Roman" w:eastAsia="Times New Roman" w:hAnsi="Times New Roman"/>
            <w:sz w:val="18"/>
            <w:szCs w:val="18"/>
            <w:color w:val="0000FF"/>
          </w:rPr>
          <w:t>Form 10</w:t>
        </w:r>
        <w:r>
          <w:rPr>
            <w:rFonts w:ascii="Times New Roman" w:cs="Times New Roman" w:eastAsia="Times New Roman" w:hAnsi="Times New Roman"/>
            <w:sz w:val="18"/>
            <w:szCs w:val="18"/>
            <w:color w:val="000000"/>
          </w:rPr>
          <w:t>, filed with the Commission on July 5, 2022 pursuant to Section 12(g) of the Exchange Act, including any subsequent amendments</w:t>
        </w:r>
      </w:hyperlink>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or reports filed for the purpose of updating such description, including Exhibit 4.2 of the 2024 Form 10-K.</w:t>
      </w:r>
    </w:p>
    <w:p>
      <w:pPr>
        <w:spacing w:after="0" w:line="78" w:lineRule="exact"/>
        <w:rPr>
          <w:rFonts w:ascii="Times New Roman" w:cs="Times New Roman" w:eastAsia="Times New Roman" w:hAnsi="Times New Roman"/>
          <w:sz w:val="18"/>
          <w:szCs w:val="18"/>
          <w:color w:val="auto"/>
        </w:rPr>
      </w:pPr>
    </w:p>
    <w:p>
      <w:pPr>
        <w:ind w:firstLine="441"/>
        <w:spacing w:after="0" w:line="255" w:lineRule="auto"/>
        <w:rPr>
          <w:sz w:val="20"/>
          <w:szCs w:val="20"/>
          <w:color w:val="auto"/>
        </w:rPr>
      </w:pPr>
      <w:r>
        <w:rPr>
          <w:rFonts w:ascii="Times New Roman" w:cs="Times New Roman" w:eastAsia="Times New Roman" w:hAnsi="Times New Roman"/>
          <w:sz w:val="18"/>
          <w:szCs w:val="18"/>
          <w:color w:val="auto"/>
        </w:rPr>
        <w:t>All documents, reports and definitive proxy or information statements filed by the Registrant with the Commission on or after the date of this Registration Statement pursuant to Sections 13(a), 13(c), 14 and 15(d) of the Securities Exchange Act of 1934, as amended, except as to any portion of any future annual, quarterly or current report or document of the Registrant that is not deemed filed under such provisions, shall be deemed incorporated by reference in this Registration Statement and to be a part hereof from the date of filing such documents until a post-effective amendment of this Registration Statement is filed which indicates that all securities being offered hereby have been sold or which deregisters all securities then remaining unsold; provided, however, that documents or information deemed to have been furnished and not filed in accordance with the rules of the Commission shall not be deemed incorporated by reference into this Registration Statement.</w:t>
      </w:r>
    </w:p>
    <w:p>
      <w:pPr>
        <w:spacing w:after="0" w:line="216" w:lineRule="exact"/>
        <w:rPr>
          <w:rFonts w:ascii="Times New Roman" w:cs="Times New Roman" w:eastAsia="Times New Roman" w:hAnsi="Times New Roman"/>
          <w:sz w:val="18"/>
          <w:szCs w:val="18"/>
          <w:color w:val="auto"/>
        </w:rPr>
      </w:pPr>
    </w:p>
    <w:p>
      <w:pPr>
        <w:ind w:right="20" w:firstLine="441"/>
        <w:spacing w:after="0" w:line="261" w:lineRule="auto"/>
        <w:rPr>
          <w:sz w:val="20"/>
          <w:szCs w:val="20"/>
          <w:color w:val="auto"/>
        </w:rPr>
      </w:pPr>
      <w:r>
        <w:rPr>
          <w:rFonts w:ascii="Times New Roman" w:cs="Times New Roman" w:eastAsia="Times New Roman" w:hAnsi="Times New Roman"/>
          <w:sz w:val="18"/>
          <w:szCs w:val="18"/>
          <w:color w:val="auto"/>
        </w:rPr>
        <w:t>Any statement contained in a document incorporated or deemed to be incorporated by reference herein shall be deemed to be modified or superseded for purposes of this Registration Statement to the extent that a statement contained herein or in any subsequently filed document that also is or is deemed to be incorporated by reference herein modifies or supersedes such statement. Any such statement so modified or superseded shall not be deemed, except as so modified or superseded, to constitute a part of this Registration Statement.</w:t>
      </w:r>
    </w:p>
    <w:p>
      <w:pPr>
        <w:sectPr>
          <w:pgSz w:w="11900" w:h="16838" w:orient="portrait"/>
          <w:cols w:equalWidth="0" w:num="1">
            <w:col w:w="11220"/>
          </w:cols>
          <w:pgMar w:left="320" w:top="918"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6. Indemnification of Directors and Officers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Section 102 of the General Corporation Law of the State of Delaware (the “DGCL”) generally permits a corporation to provide in its certificate of incorporation that a director or officer of the corporation shall not be personally liable to the corporation or its stockholders for monetary damages for breach of fiduciary duty as a director or officer, except for liability for (i) with respect to directors and officers, any breach of the director’s or officer’s duty of loyalty to the corporation or its stockholders, (ii) with respect to directors and officers, acts or omissions not in good faith or which involve intentional misconduct or a knowing violation of law, (iii) with respect to directors, payments of unlawful dividends or unlawful stock repurchases or redemptions under Section 174 of the DGCL, (iv) with respect to directors and officers, any transaction from which the director or officer derived an improper personal benefit, or (v) with respect to officers, any action by or in the right of the corporation.</w:t>
      </w:r>
    </w:p>
    <w:p>
      <w:pPr>
        <w:spacing w:after="0" w:line="216"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Section 145 of the DGCL provides that a corporation may indemnify any person who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settlement amounts actually and reasonably incurred in connection with specified actions, suits, or proceedings brought by third parties, whether civil, criminal, administrative, or investigative (collectively, “Proceedings”), if the individuals acted in good faith and in a manner they reasonably believed to be in or not opposed to the best interests of the corporation, and, with respect to any criminal action or proceeding, had no reasonable cause to believe their conduct was unlawful. A similar standard is applicable in the case of derivative actions and actions brought directly by the corporation, except that indemnification only extends to expenses (including attorneys’ fees) actually and reasonably incurred in connection with the defense or settlement of such actions, and the statute requires court approval before there can be any indemnification of such expenses if the person seeking indemnification has been found liable to the corporation.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among other things, Section 145 of the DGCL generally:</w:t>
      </w:r>
    </w:p>
    <w:p>
      <w:pPr>
        <w:spacing w:after="0" w:line="306" w:lineRule="exact"/>
        <w:rPr>
          <w:sz w:val="20"/>
          <w:szCs w:val="20"/>
          <w:color w:val="auto"/>
        </w:rPr>
      </w:pPr>
    </w:p>
    <w:p>
      <w:pPr>
        <w:ind w:left="660" w:right="220" w:hanging="328"/>
        <w:spacing w:after="0" w:line="266"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requires indemnification against expenses (including attorneys’ fees) actually and reasonably incurred by directors and officers, and permits the same for other employees and agents, to the extent they have been successful, on the merits or otherwise, in defending an action, suit, or proceeding or in defense of any claim, issue or matter therein (whether brought by a third party or by or on behalf of the corporation);</w:t>
      </w:r>
    </w:p>
    <w:p>
      <w:pPr>
        <w:spacing w:after="0" w:line="13"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permits a corporation to pay expenses of defense in advance of the final disposition of an action, suit, or proceeding upon receipt (in the case of a current director or officer) of an undertaking to repay any amounts advanced if it is ultimately determined that the director or officer is not entitled to be indemnified;</w:t>
      </w:r>
    </w:p>
    <w:p>
      <w:pPr>
        <w:spacing w:after="0" w:line="13" w:lineRule="exact"/>
        <w:rPr>
          <w:rFonts w:ascii="Times New Roman" w:cs="Times New Roman" w:eastAsia="Times New Roman" w:hAnsi="Times New Roman"/>
          <w:sz w:val="18"/>
          <w:szCs w:val="18"/>
          <w:color w:val="auto"/>
        </w:rPr>
      </w:pPr>
    </w:p>
    <w:p>
      <w:pPr>
        <w:ind w:left="660" w:right="940" w:hanging="328"/>
        <w:spacing w:after="0" w:line="281"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that it is not exclusive of other indemnification and advancement of expenses that may be granted by a corporation’s bylaws, disinterested director vote, stockholder vote, agreement, or otherwise; and</w:t>
      </w:r>
    </w:p>
    <w:p>
      <w:pPr>
        <w:spacing w:after="0" w:line="1" w:lineRule="exact"/>
        <w:rPr>
          <w:rFonts w:ascii="Times New Roman" w:cs="Times New Roman" w:eastAsia="Times New Roman" w:hAnsi="Times New Roman"/>
          <w:sz w:val="18"/>
          <w:szCs w:val="18"/>
          <w:color w:val="auto"/>
        </w:rPr>
      </w:pPr>
    </w:p>
    <w:p>
      <w:pPr>
        <w:ind w:left="660" w:right="180" w:hanging="328"/>
        <w:spacing w:after="0" w:line="258"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that a corporation generally has the power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Section 145 of the DGCL.</w:t>
      </w:r>
    </w:p>
    <w:p>
      <w:pPr>
        <w:spacing w:after="0" w:line="210"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Article IX of the Registrant’s Amended and Restated Certificate of Incorporation (the “certificate of incorporation”) contains provisions providing for limitations of director and officer liabilities for monetary damages for breach of fiduciary duties to the fullest extent permitted under the DGCL and indemnification of and advancement of expenses to its directors, officers, employees and agents to the fullest extent permitted under the DGCL and further provides that any amendment to or repeal of such Article IX or the adoption of any provision of the certificate of incorporation inconsistent with Article IX shall not eliminate or reduce the effect of the indemnification or limitation of liability provided in Article IX in respect of any matter occurring, or any action or proceeding accruing or arising or that, but for Article IX, would accrue or arise, prior to such amendment, repeal or adoption of an inconsistent provision.</w:t>
      </w:r>
    </w:p>
    <w:p>
      <w:pPr>
        <w:sectPr>
          <w:pgSz w:w="11900" w:h="16838" w:orient="portrait"/>
          <w:cols w:equalWidth="0" w:num="1">
            <w:col w:w="11220"/>
          </w:cols>
          <w:pgMar w:left="320" w:top="927" w:right="359" w:bottom="1440" w:gutter="0" w:footer="0" w:header="0"/>
        </w:sectPr>
      </w:pPr>
    </w:p>
    <w:bookmarkStart w:id="3" w:name="page4"/>
    <w:bookmarkEnd w:id="3"/>
    <w:p>
      <w:pPr>
        <w:ind w:firstLine="324"/>
        <w:spacing w:after="0" w:line="253" w:lineRule="auto"/>
        <w:rPr>
          <w:sz w:val="20"/>
          <w:szCs w:val="20"/>
          <w:color w:val="auto"/>
        </w:rPr>
      </w:pPr>
      <w:r>
        <w:rPr>
          <w:rFonts w:ascii="Times New Roman" w:cs="Times New Roman" w:eastAsia="Times New Roman" w:hAnsi="Times New Roman"/>
          <w:sz w:val="18"/>
          <w:szCs w:val="18"/>
          <w:color w:val="auto"/>
        </w:rPr>
        <w:t>Article VI Section 6.1 of the Registrant’s Bylaws (the “bylaws”) requires indemnification for anyone who is or was a director or officer of the Registrant (or who, while serving as a director or officer of the Registrant, is or was serving at the request of the Registrant as a director, officer, employee or agent of another corporation, partnership, joint venture, trust, employee benefit plan or other enterprise) to the fullest extent permitted under the DGCL against expenses (including attorneys’ fees), judgments, fines, settlements and other amounts actually and reasonably incurred in connection with any Proceeding, arising by reason of the fact that such person is or was an agent of the Registrant (collectively, “Expenses”), and Article VI Section 6.2 of the bylaws permits indemnification and advancement of expenses for anyone who is an employee or agent (other than a director and officer) (or who (i) is or was an employee or agent of the Registrant, (ii) is or was serving at the request of the Registrant as an employee or agent of another corporation, partnership, joint venture, trust or other enterprise, or (iii) was an employee or agent of a corporation which was a predecessor corporation of the Registrant or of another enterprise at the request of such predecessor corporation) against Expenses; provided, however, that the Registrant shall indemnify any such person seeking indemnification in connection with a Proceeding initiated by such person only if the Proceeding was authorized by the board of directors of the Registrant.</w:t>
      </w:r>
    </w:p>
    <w:p>
      <w:pPr>
        <w:spacing w:after="0" w:line="21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Additionally, directors, officers and employees and agents for whom indemnification is permitted have the right under Article VI Section 6.3 of the bylaws to be paid Expenses incurred by him or her, or on his or her behalf, in defending any such Proceeding in advance of its final disposition upon receipt of an undertaking by or on behalf of the indemnified party to repay such amount, if it is ultimately determined by final judicial decision from which there is no further right to appeal, that the indemnified party is not entitled to be indemnified as authorized in Article VI of the bylaws. The Registrant has entered into form indemnification agreements with its directors and certain of its officers. Among other things, and subject to certain limitations, the form indemnification agreements provide for advancement and indemnification, within the bounds of Delaware law, for losses directors and officers may incur in connection with or arising out of the performance of their duties.</w:t>
      </w:r>
    </w:p>
    <w:p>
      <w:pPr>
        <w:spacing w:after="0" w:line="216"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Article VI Section 6.7 of the bylaws also provides that the Registrant may purchase and maintain insurance to protect any person who is or was a director, officer, employee or agent of the Registrant (including to the extent they are or were serving at the request of the Registrant as a director, officer, employee, or agent of another corporation or of a partnership, joint venture, trust, or other enterprise) against any liability asserted against him or her and incurred by him or her in any such capacity, or arising out of his or her status as such, whether or not the Registrant would have the power to indemnify such person against such liability under the DGCL. The Registrant accordingly maintains standard director and officer insurance policies which insure its directors and officers against certain liabilities.</w:t>
      </w:r>
    </w:p>
    <w:p>
      <w:pPr>
        <w:spacing w:after="0" w:line="214"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The foregoing summaries are necessarily subject to the complete text of the referenced sections of the DGCL, the certificate of incorporation, the bylaws, and the form indemnification agreements and are qualified in their entirety by reference thereto.</w:t>
      </w:r>
    </w:p>
    <w:p>
      <w:pPr>
        <w:sectPr>
          <w:pgSz w:w="11900" w:h="16838" w:orient="portrait"/>
          <w:cols w:equalWidth="0" w:num="1">
            <w:col w:w="11200"/>
          </w:cols>
          <w:pgMar w:left="320" w:top="931" w:right="3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Item 8.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documents are filed as exhibits to this Registration Statement.</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6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20" w:type="dxa"/>
            <w:vAlign w:val="bottom"/>
          </w:tcPr>
          <w:p>
            <w:pPr>
              <w:spacing w:after="0"/>
              <w:rPr>
                <w:sz w:val="20"/>
                <w:szCs w:val="20"/>
                <w:color w:val="auto"/>
              </w:rPr>
            </w:pPr>
          </w:p>
        </w:tc>
        <w:tc>
          <w:tcPr>
            <w:tcW w:w="9560" w:type="dxa"/>
            <w:vAlign w:val="bottom"/>
            <w:gridSpan w:val="5"/>
          </w:tcPr>
          <w:p>
            <w:pPr>
              <w:ind w:left="392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27"/>
        </w:trPr>
        <w:tc>
          <w:tcPr>
            <w:tcW w:w="1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5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r>
        <w:trPr>
          <w:trHeight w:val="223"/>
        </w:trPr>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560" w:type="dxa"/>
            <w:vAlign w:val="bottom"/>
            <w:gridSpan w:val="5"/>
          </w:tcPr>
          <w:p>
            <w:pPr>
              <w:spacing w:after="0"/>
              <w:rPr>
                <w:rFonts w:ascii="Times New Roman" w:cs="Times New Roman" w:eastAsia="Times New Roman" w:hAnsi="Times New Roman"/>
                <w:sz w:val="18"/>
                <w:szCs w:val="18"/>
                <w:color w:val="0000EE"/>
              </w:rPr>
            </w:pPr>
            <w:hyperlink r:id="rId14">
              <w:r>
                <w:rPr>
                  <w:rFonts w:ascii="Times New Roman" w:cs="Times New Roman" w:eastAsia="Times New Roman" w:hAnsi="Times New Roman"/>
                  <w:sz w:val="18"/>
                  <w:szCs w:val="18"/>
                  <w:color w:val="0000EE"/>
                </w:rPr>
                <w:t>Amended and Restated Certificate of Incorporation of Life360, Inc. (incorporated by reference to Exhibit 3.1 to the Registrant’s</w:t>
              </w:r>
            </w:hyperlink>
          </w:p>
        </w:tc>
      </w:tr>
      <w:tr>
        <w:trPr>
          <w:trHeight w:val="183"/>
        </w:trPr>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0" w:type="dxa"/>
            <w:vAlign w:val="bottom"/>
            <w:tcBorders>
              <w:top w:val="single" w:sz="8" w:color="0000EE"/>
            </w:tcBorders>
            <w:gridSpan w:val="4"/>
          </w:tcPr>
          <w:p>
            <w:pPr>
              <w:spacing w:after="0" w:line="182" w:lineRule="exact"/>
              <w:rPr>
                <w:rFonts w:ascii="Times New Roman" w:cs="Times New Roman" w:eastAsia="Times New Roman" w:hAnsi="Times New Roman"/>
                <w:sz w:val="18"/>
                <w:szCs w:val="18"/>
                <w:color w:val="0000EE"/>
              </w:rPr>
            </w:pPr>
            <w:hyperlink r:id="rId14">
              <w:r>
                <w:rPr>
                  <w:rFonts w:ascii="Times New Roman" w:cs="Times New Roman" w:eastAsia="Times New Roman" w:hAnsi="Times New Roman"/>
                  <w:sz w:val="18"/>
                  <w:szCs w:val="18"/>
                  <w:color w:val="0000EE"/>
                </w:rPr>
                <w:t>Current Report on Form 8-K (File No. 000-56424, filed with the Commission on June 3, 2024))</w:t>
              </w:r>
            </w:hyperlink>
          </w:p>
        </w:tc>
        <w:tc>
          <w:tcPr>
            <w:tcW w:w="360" w:type="dxa"/>
            <w:vAlign w:val="bottom"/>
          </w:tcPr>
          <w:p>
            <w:pPr>
              <w:spacing w:after="0"/>
              <w:rPr>
                <w:sz w:val="15"/>
                <w:szCs w:val="15"/>
                <w:color w:val="auto"/>
              </w:rPr>
            </w:pPr>
          </w:p>
        </w:tc>
      </w:tr>
      <w:tr>
        <w:trPr>
          <w:trHeight w:val="20"/>
        </w:trPr>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54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r>
      <w:tr>
        <w:trPr>
          <w:trHeight w:val="291"/>
        </w:trPr>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60" w:type="dxa"/>
            <w:vAlign w:val="bottom"/>
            <w:gridSpan w:val="5"/>
          </w:tcPr>
          <w:p>
            <w:pPr>
              <w:spacing w:after="0"/>
              <w:rPr>
                <w:rFonts w:ascii="Times New Roman" w:cs="Times New Roman" w:eastAsia="Times New Roman" w:hAnsi="Times New Roman"/>
                <w:sz w:val="18"/>
                <w:szCs w:val="18"/>
                <w:color w:val="0000EE"/>
              </w:rPr>
            </w:pPr>
            <w:hyperlink r:id="rId15">
              <w:r>
                <w:rPr>
                  <w:rFonts w:ascii="Times New Roman" w:cs="Times New Roman" w:eastAsia="Times New Roman" w:hAnsi="Times New Roman"/>
                  <w:sz w:val="18"/>
                  <w:szCs w:val="18"/>
                  <w:color w:val="0000EE"/>
                </w:rPr>
                <w:t>Amended and Restated Bylaws of Life360, Inc. (incorporated by reference to Exhibit 3.2 to the Registrant’s Current Report on</w:t>
              </w:r>
            </w:hyperlink>
          </w:p>
        </w:tc>
      </w:tr>
      <w:tr>
        <w:trPr>
          <w:trHeight w:val="183"/>
        </w:trPr>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120" w:type="dxa"/>
            <w:vAlign w:val="bottom"/>
            <w:tcBorders>
              <w:top w:val="single" w:sz="8" w:color="0000EE"/>
            </w:tcBorders>
            <w:gridSpan w:val="3"/>
          </w:tcPr>
          <w:p>
            <w:pPr>
              <w:spacing w:after="0" w:line="182" w:lineRule="exact"/>
              <w:rPr>
                <w:rFonts w:ascii="Times New Roman" w:cs="Times New Roman" w:eastAsia="Times New Roman" w:hAnsi="Times New Roman"/>
                <w:sz w:val="18"/>
                <w:szCs w:val="18"/>
                <w:color w:val="0000EE"/>
              </w:rPr>
            </w:pPr>
            <w:hyperlink r:id="rId15">
              <w:r>
                <w:rPr>
                  <w:rFonts w:ascii="Times New Roman" w:cs="Times New Roman" w:eastAsia="Times New Roman" w:hAnsi="Times New Roman"/>
                  <w:sz w:val="18"/>
                  <w:szCs w:val="18"/>
                  <w:color w:val="0000EE"/>
                </w:rPr>
                <w:t>Form 8-K (File No. 000-56424, filed with the Commission on June 3, 2024))</w:t>
              </w:r>
            </w:hyperlink>
          </w:p>
        </w:tc>
        <w:tc>
          <w:tcPr>
            <w:tcW w:w="440" w:type="dxa"/>
            <w:vAlign w:val="bottom"/>
            <w:gridSpan w:val="2"/>
          </w:tcPr>
          <w:p>
            <w:pPr>
              <w:spacing w:after="0"/>
              <w:rPr>
                <w:sz w:val="15"/>
                <w:szCs w:val="15"/>
                <w:color w:val="auto"/>
              </w:rPr>
            </w:pPr>
          </w:p>
        </w:tc>
      </w:tr>
      <w:tr>
        <w:trPr>
          <w:trHeight w:val="20"/>
        </w:trPr>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540" w:type="dxa"/>
            <w:vAlign w:val="bottom"/>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103" w:lineRule="exact"/>
        <w:rPr>
          <w:sz w:val="20"/>
          <w:szCs w:val="20"/>
          <w:color w:val="auto"/>
        </w:rPr>
      </w:pPr>
    </w:p>
    <w:p>
      <w:pPr>
        <w:sectPr>
          <w:pgSz w:w="11900" w:h="16838" w:orient="portrait"/>
          <w:cols w:equalWidth="0" w:num="1">
            <w:col w:w="11240"/>
          </w:cols>
          <w:pgMar w:left="320" w:top="927" w:right="339" w:bottom="1440" w:gutter="0" w:footer="0" w:header="0"/>
        </w:sectPr>
      </w:pPr>
    </w:p>
    <w:p>
      <w:pPr>
        <w:ind w:left="680"/>
        <w:spacing w:after="0"/>
        <w:rPr>
          <w:sz w:val="20"/>
          <w:szCs w:val="20"/>
          <w:color w:val="auto"/>
        </w:rPr>
      </w:pPr>
      <w:r>
        <w:rPr>
          <w:rFonts w:ascii="Times New Roman" w:cs="Times New Roman" w:eastAsia="Times New Roman" w:hAnsi="Times New Roman"/>
          <w:sz w:val="18"/>
          <w:szCs w:val="18"/>
          <w:color w:val="auto"/>
        </w:rPr>
        <w:t>5.1</w:t>
      </w:r>
    </w:p>
    <w:p>
      <w:pPr>
        <w:spacing w:after="0" w:line="10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23.1</w:t>
      </w:r>
    </w:p>
    <w:p>
      <w:pPr>
        <w:spacing w:after="0" w:line="10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23.2</w:t>
      </w:r>
    </w:p>
    <w:p>
      <w:pPr>
        <w:spacing w:after="0" w:line="10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23.3</w:t>
      </w:r>
    </w:p>
    <w:p>
      <w:pPr>
        <w:spacing w:after="0" w:line="10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24.1</w:t>
      </w:r>
    </w:p>
    <w:p>
      <w:pPr>
        <w:spacing w:after="0" w:line="10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  99.1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u w:val="single" w:color="auto"/>
          <w:color w:val="0000EE"/>
        </w:rPr>
        <w:t>Opinion of Sidley Austin LLP*</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Consent of BDO USA, P.C., independent registered public accounting firm*</w:t>
      </w:r>
    </w:p>
    <w:p>
      <w:pPr>
        <w:spacing w:after="0" w:line="131" w:lineRule="exact"/>
        <w:rPr>
          <w:sz w:val="20"/>
          <w:szCs w:val="20"/>
          <w:color w:val="auto"/>
        </w:rPr>
      </w:pPr>
    </w:p>
    <w:p>
      <w:pPr>
        <w:ind w:right="3540"/>
        <w:spacing w:after="0" w:line="344" w:lineRule="auto"/>
        <w:rPr>
          <w:sz w:val="20"/>
          <w:szCs w:val="20"/>
          <w:color w:val="auto"/>
        </w:rPr>
      </w:pPr>
      <w:r>
        <w:rPr>
          <w:rFonts w:ascii="Times New Roman" w:cs="Times New Roman" w:eastAsia="Times New Roman" w:hAnsi="Times New Roman"/>
          <w:sz w:val="18"/>
          <w:szCs w:val="18"/>
          <w:u w:val="single" w:color="auto"/>
          <w:color w:val="0000EE"/>
        </w:rPr>
        <w:t xml:space="preserve">Consent of Deloitte &amp; Touche LLP, independent registered public accounting firm* </w:t>
      </w:r>
      <w:r>
        <w:rPr>
          <w:rFonts w:ascii="Times New Roman" w:cs="Times New Roman" w:eastAsia="Times New Roman" w:hAnsi="Times New Roman"/>
          <w:sz w:val="18"/>
          <w:szCs w:val="18"/>
          <w:u w:val="single" w:color="auto"/>
          <w:color w:val="0000FF"/>
        </w:rPr>
        <w:t>Consent of Sidley Austin LLP (included in Exhibit 5.1)*</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Power of Attorney (included in the signature page to this Registration Statement)*</w:t>
      </w:r>
    </w:p>
    <w:p>
      <w:pPr>
        <w:spacing w:after="0" w:line="104" w:lineRule="exact"/>
        <w:rPr>
          <w:sz w:val="20"/>
          <w:szCs w:val="20"/>
          <w:color w:val="auto"/>
        </w:rPr>
      </w:pPr>
    </w:p>
    <w:p>
      <w:pPr>
        <w:ind w:right="680"/>
        <w:spacing w:after="0" w:line="266" w:lineRule="auto"/>
        <w:rPr>
          <w:rFonts w:ascii="Times New Roman" w:cs="Times New Roman" w:eastAsia="Times New Roman" w:hAnsi="Times New Roman"/>
          <w:sz w:val="18"/>
          <w:szCs w:val="18"/>
          <w:u w:val="single" w:color="auto"/>
          <w:color w:val="0000EE"/>
        </w:rPr>
      </w:pPr>
      <w:hyperlink r:id="rId16">
        <w:r>
          <w:rPr>
            <w:rFonts w:ascii="Times New Roman" w:cs="Times New Roman" w:eastAsia="Times New Roman" w:hAnsi="Times New Roman"/>
            <w:sz w:val="18"/>
            <w:szCs w:val="18"/>
            <w:u w:val="single" w:color="auto"/>
            <w:color w:val="0000EE"/>
          </w:rPr>
          <w:t>Amended and Restated 2011 Stock Plan (incorporated by reference to Exhibit 10.2 to the Registrant’s Amendment No. 2 to</w:t>
        </w:r>
      </w:hyperlink>
      <w:r>
        <w:rPr>
          <w:rFonts w:ascii="Times New Roman" w:cs="Times New Roman" w:eastAsia="Times New Roman" w:hAnsi="Times New Roman"/>
          <w:sz w:val="18"/>
          <w:szCs w:val="18"/>
          <w:u w:val="single" w:color="auto"/>
          <w:color w:val="0000EE"/>
        </w:rPr>
        <w:t xml:space="preserve"> </w:t>
      </w:r>
      <w:hyperlink r:id="rId16">
        <w:r>
          <w:rPr>
            <w:rFonts w:ascii="Times New Roman" w:cs="Times New Roman" w:eastAsia="Times New Roman" w:hAnsi="Times New Roman"/>
            <w:sz w:val="18"/>
            <w:szCs w:val="18"/>
            <w:u w:val="single" w:color="auto"/>
            <w:color w:val="0000EE"/>
          </w:rPr>
          <w:t>Registration Statement on Form 10 (File No. 000-56424, filed with the Commission on July 5, 2022))</w:t>
        </w:r>
      </w:hyperlink>
    </w:p>
    <w:p>
      <w:pPr>
        <w:spacing w:after="0" w:line="41" w:lineRule="exact"/>
        <w:rPr>
          <w:sz w:val="20"/>
          <w:szCs w:val="20"/>
          <w:color w:val="auto"/>
        </w:rPr>
      </w:pPr>
    </w:p>
    <w:p>
      <w:pPr>
        <w:sectPr>
          <w:pgSz w:w="11900" w:h="16838" w:orient="portrait"/>
          <w:cols w:equalWidth="0" w:num="2">
            <w:col w:w="1000" w:space="680"/>
            <w:col w:w="9560"/>
          </w:cols>
          <w:pgMar w:left="320" w:top="927" w:right="339" w:bottom="1440" w:gutter="0" w:footer="0" w:header="0"/>
          <w:type w:val="continuous"/>
        </w:sectPr>
      </w:pPr>
    </w:p>
    <w:tbl>
      <w:tblPr>
        <w:tblLayout w:type="fixed"/>
        <w:tblInd w:w="580" w:type="dxa"/>
        <w:tblCellMar>
          <w:top w:w="0" w:type="dxa"/>
          <w:left w:w="0" w:type="dxa"/>
          <w:bottom w:w="0" w:type="dxa"/>
          <w:right w:w="0" w:type="dxa"/>
        </w:tblCellMar>
      </w:tblPr>
      <w:tr>
        <w:trPr>
          <w:trHeight w:val="207"/>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  99.2</w:t>
            </w:r>
          </w:p>
        </w:tc>
        <w:tc>
          <w:tcPr>
            <w:tcW w:w="2720" w:type="dxa"/>
            <w:vAlign w:val="bottom"/>
            <w:gridSpan w:val="2"/>
          </w:tcPr>
          <w:p>
            <w:pPr>
              <w:spacing w:after="0"/>
              <w:rPr>
                <w:rFonts w:ascii="Times New Roman" w:cs="Times New Roman" w:eastAsia="Times New Roman" w:hAnsi="Times New Roman"/>
                <w:sz w:val="18"/>
                <w:szCs w:val="18"/>
                <w:color w:val="0000EE"/>
                <w:w w:val="99"/>
              </w:rPr>
            </w:pPr>
            <w:hyperlink r:id="rId17">
              <w:r>
                <w:rPr>
                  <w:rFonts w:ascii="Times New Roman" w:cs="Times New Roman" w:eastAsia="Times New Roman" w:hAnsi="Times New Roman"/>
                  <w:sz w:val="18"/>
                  <w:szCs w:val="18"/>
                  <w:color w:val="0000EE"/>
                  <w:w w:val="99"/>
                </w:rPr>
                <w:t>Form of Amended and Restated 2011</w:t>
              </w:r>
            </w:hyperlink>
          </w:p>
        </w:tc>
        <w:tc>
          <w:tcPr>
            <w:tcW w:w="6780" w:type="dxa"/>
            <w:vAlign w:val="bottom"/>
            <w:gridSpan w:val="4"/>
          </w:tcPr>
          <w:p>
            <w:pPr>
              <w:ind w:left="20"/>
              <w:spacing w:after="0"/>
              <w:rPr>
                <w:rFonts w:ascii="Times New Roman" w:cs="Times New Roman" w:eastAsia="Times New Roman" w:hAnsi="Times New Roman"/>
                <w:sz w:val="18"/>
                <w:szCs w:val="18"/>
                <w:color w:val="0000EE"/>
              </w:rPr>
            </w:pPr>
            <w:hyperlink r:id="rId17">
              <w:r>
                <w:rPr>
                  <w:rFonts w:ascii="Times New Roman" w:cs="Times New Roman" w:eastAsia="Times New Roman" w:hAnsi="Times New Roman"/>
                  <w:sz w:val="18"/>
                  <w:szCs w:val="18"/>
                  <w:color w:val="0000EE"/>
                </w:rPr>
                <w:t>Stock Plan Restricted Stock Unit Agreement (incorporated by reference to Exhibit 10.3 to the</w:t>
              </w:r>
            </w:hyperlink>
          </w:p>
        </w:tc>
      </w:tr>
      <w:tr>
        <w:trPr>
          <w:trHeight w:val="183"/>
        </w:trPr>
        <w:tc>
          <w:tcPr>
            <w:tcW w:w="1100" w:type="dxa"/>
            <w:vAlign w:val="bottom"/>
          </w:tcPr>
          <w:p>
            <w:pPr>
              <w:spacing w:after="0"/>
              <w:rPr>
                <w:sz w:val="15"/>
                <w:szCs w:val="15"/>
                <w:color w:val="auto"/>
              </w:rPr>
            </w:pPr>
          </w:p>
        </w:tc>
        <w:tc>
          <w:tcPr>
            <w:tcW w:w="9480" w:type="dxa"/>
            <w:vAlign w:val="bottom"/>
            <w:tcBorders>
              <w:top w:val="single" w:sz="8" w:color="0000EE"/>
            </w:tcBorders>
            <w:gridSpan w:val="5"/>
          </w:tcPr>
          <w:p>
            <w:pPr>
              <w:spacing w:after="0" w:line="182" w:lineRule="exact"/>
              <w:rPr>
                <w:rFonts w:ascii="Times New Roman" w:cs="Times New Roman" w:eastAsia="Times New Roman" w:hAnsi="Times New Roman"/>
                <w:sz w:val="18"/>
                <w:szCs w:val="18"/>
                <w:color w:val="0000EE"/>
              </w:rPr>
            </w:pPr>
            <w:hyperlink r:id="rId17">
              <w:r>
                <w:rPr>
                  <w:rFonts w:ascii="Times New Roman" w:cs="Times New Roman" w:eastAsia="Times New Roman" w:hAnsi="Times New Roman"/>
                  <w:sz w:val="18"/>
                  <w:szCs w:val="18"/>
                  <w:color w:val="0000EE"/>
                </w:rPr>
                <w:t>Registrant’s Amendment No. 2 to Registration Statement on Form 10 (File No. 000-56424, filed with the Commission on July 5,</w:t>
              </w:r>
            </w:hyperlink>
          </w:p>
        </w:tc>
        <w:tc>
          <w:tcPr>
            <w:tcW w:w="20" w:type="dxa"/>
            <w:vAlign w:val="bottom"/>
          </w:tcPr>
          <w:p>
            <w:pPr>
              <w:spacing w:after="0"/>
              <w:rPr>
                <w:sz w:val="15"/>
                <w:szCs w:val="15"/>
                <w:color w:val="auto"/>
              </w:rPr>
            </w:pPr>
          </w:p>
        </w:tc>
      </w:tr>
      <w:tr>
        <w:trPr>
          <w:trHeight w:val="183"/>
        </w:trPr>
        <w:tc>
          <w:tcPr>
            <w:tcW w:w="1100" w:type="dxa"/>
            <w:vAlign w:val="bottom"/>
          </w:tcPr>
          <w:p>
            <w:pPr>
              <w:spacing w:after="0"/>
              <w:rPr>
                <w:sz w:val="15"/>
                <w:szCs w:val="15"/>
                <w:color w:val="auto"/>
              </w:rPr>
            </w:pPr>
          </w:p>
        </w:tc>
        <w:tc>
          <w:tcPr>
            <w:tcW w:w="480" w:type="dxa"/>
            <w:vAlign w:val="bottom"/>
            <w:tcBorders>
              <w:top w:val="single" w:sz="8" w:color="0000EE"/>
              <w:bottom w:val="single" w:sz="8" w:color="0000EE"/>
            </w:tcBorders>
          </w:tcPr>
          <w:p>
            <w:pPr>
              <w:spacing w:after="0" w:line="182" w:lineRule="exact"/>
              <w:rPr>
                <w:rFonts w:ascii="Times New Roman" w:cs="Times New Roman" w:eastAsia="Times New Roman" w:hAnsi="Times New Roman"/>
                <w:sz w:val="18"/>
                <w:szCs w:val="18"/>
                <w:color w:val="0000EE"/>
                <w:w w:val="95"/>
              </w:rPr>
            </w:pPr>
            <w:hyperlink r:id="rId17">
              <w:r>
                <w:rPr>
                  <w:rFonts w:ascii="Times New Roman" w:cs="Times New Roman" w:eastAsia="Times New Roman" w:hAnsi="Times New Roman"/>
                  <w:sz w:val="18"/>
                  <w:szCs w:val="18"/>
                  <w:color w:val="0000EE"/>
                  <w:w w:val="95"/>
                </w:rPr>
                <w:t>2022)</w:t>
              </w:r>
              <w:r>
                <w:rPr>
                  <w:rFonts w:ascii="Times New Roman" w:cs="Times New Roman" w:eastAsia="Times New Roman" w:hAnsi="Times New Roman"/>
                  <w:sz w:val="18"/>
                  <w:szCs w:val="18"/>
                  <w:u w:val="single" w:color="auto"/>
                  <w:color w:val="0000EE"/>
                  <w:w w:val="95"/>
                </w:rPr>
                <w:t>)</w:t>
              </w:r>
            </w:hyperlink>
          </w:p>
        </w:tc>
        <w:tc>
          <w:tcPr>
            <w:tcW w:w="2240" w:type="dxa"/>
            <w:vAlign w:val="bottom"/>
            <w:tcBorders>
              <w:top w:val="single" w:sz="8" w:color="0000EE"/>
            </w:tcBorders>
          </w:tcPr>
          <w:p>
            <w:pPr>
              <w:spacing w:after="0"/>
              <w:rPr>
                <w:sz w:val="15"/>
                <w:szCs w:val="15"/>
                <w:color w:val="auto"/>
              </w:rPr>
            </w:pPr>
          </w:p>
        </w:tc>
        <w:tc>
          <w:tcPr>
            <w:tcW w:w="6160" w:type="dxa"/>
            <w:vAlign w:val="bottom"/>
            <w:tcBorders>
              <w:top w:val="single" w:sz="8" w:color="0000EE"/>
            </w:tcBorders>
          </w:tcPr>
          <w:p>
            <w:pPr>
              <w:spacing w:after="0"/>
              <w:rPr>
                <w:sz w:val="15"/>
                <w:szCs w:val="15"/>
                <w:color w:val="auto"/>
              </w:rPr>
            </w:pPr>
          </w:p>
        </w:tc>
        <w:tc>
          <w:tcPr>
            <w:tcW w:w="400" w:type="dxa"/>
            <w:vAlign w:val="bottom"/>
            <w:tcBorders>
              <w:top w:val="single" w:sz="8" w:color="0000EE"/>
            </w:tcBorders>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91"/>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  99.3</w:t>
            </w:r>
          </w:p>
        </w:tc>
        <w:tc>
          <w:tcPr>
            <w:tcW w:w="2720" w:type="dxa"/>
            <w:vAlign w:val="bottom"/>
            <w:gridSpan w:val="2"/>
          </w:tcPr>
          <w:p>
            <w:pPr>
              <w:spacing w:after="0"/>
              <w:rPr>
                <w:rFonts w:ascii="Times New Roman" w:cs="Times New Roman" w:eastAsia="Times New Roman" w:hAnsi="Times New Roman"/>
                <w:sz w:val="18"/>
                <w:szCs w:val="18"/>
                <w:color w:val="0000EE"/>
                <w:w w:val="99"/>
              </w:rPr>
            </w:pPr>
            <w:hyperlink r:id="rId18">
              <w:r>
                <w:rPr>
                  <w:rFonts w:ascii="Times New Roman" w:cs="Times New Roman" w:eastAsia="Times New Roman" w:hAnsi="Times New Roman"/>
                  <w:sz w:val="18"/>
                  <w:szCs w:val="18"/>
                  <w:color w:val="0000EE"/>
                  <w:w w:val="99"/>
                </w:rPr>
                <w:t>Form of Amended and Restated 2011</w:t>
              </w:r>
            </w:hyperlink>
          </w:p>
        </w:tc>
        <w:tc>
          <w:tcPr>
            <w:tcW w:w="6780" w:type="dxa"/>
            <w:vAlign w:val="bottom"/>
            <w:gridSpan w:val="4"/>
          </w:tcPr>
          <w:p>
            <w:pPr>
              <w:ind w:left="20"/>
              <w:spacing w:after="0"/>
              <w:rPr>
                <w:rFonts w:ascii="Times New Roman" w:cs="Times New Roman" w:eastAsia="Times New Roman" w:hAnsi="Times New Roman"/>
                <w:sz w:val="18"/>
                <w:szCs w:val="18"/>
                <w:color w:val="0000EE"/>
              </w:rPr>
            </w:pPr>
            <w:hyperlink r:id="rId18">
              <w:r>
                <w:rPr>
                  <w:rFonts w:ascii="Times New Roman" w:cs="Times New Roman" w:eastAsia="Times New Roman" w:hAnsi="Times New Roman"/>
                  <w:sz w:val="18"/>
                  <w:szCs w:val="18"/>
                  <w:color w:val="0000EE"/>
                </w:rPr>
                <w:t>Stock Plan Stock Option Agreement (incorporated by reference to Exhibit 10.4 to the</w:t>
              </w:r>
            </w:hyperlink>
          </w:p>
        </w:tc>
      </w:tr>
      <w:tr>
        <w:trPr>
          <w:trHeight w:val="20"/>
        </w:trPr>
        <w:tc>
          <w:tcPr>
            <w:tcW w:w="1100" w:type="dxa"/>
            <w:vAlign w:val="bottom"/>
          </w:tcPr>
          <w:p>
            <w:pPr>
              <w:spacing w:after="0" w:line="20" w:lineRule="exact"/>
              <w:rPr>
                <w:sz w:val="1"/>
                <w:szCs w:val="1"/>
                <w:color w:val="auto"/>
              </w:rPr>
            </w:pPr>
          </w:p>
        </w:tc>
        <w:tc>
          <w:tcPr>
            <w:tcW w:w="8880" w:type="dxa"/>
            <w:vAlign w:val="bottom"/>
            <w:gridSpan w:val="3"/>
            <w:shd w:val="clear" w:color="auto" w:fill="0000EE"/>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r>
      <w:tr>
        <w:trPr>
          <w:trHeight w:val="183"/>
        </w:trPr>
        <w:tc>
          <w:tcPr>
            <w:tcW w:w="1100" w:type="dxa"/>
            <w:vAlign w:val="bottom"/>
          </w:tcPr>
          <w:p>
            <w:pPr>
              <w:spacing w:after="0"/>
              <w:rPr>
                <w:sz w:val="15"/>
                <w:szCs w:val="15"/>
                <w:color w:val="auto"/>
              </w:rPr>
            </w:pPr>
          </w:p>
        </w:tc>
        <w:tc>
          <w:tcPr>
            <w:tcW w:w="9500" w:type="dxa"/>
            <w:vAlign w:val="bottom"/>
            <w:gridSpan w:val="6"/>
          </w:tcPr>
          <w:p>
            <w:pPr>
              <w:spacing w:after="0" w:line="182" w:lineRule="exact"/>
              <w:rPr>
                <w:rFonts w:ascii="Times New Roman" w:cs="Times New Roman" w:eastAsia="Times New Roman" w:hAnsi="Times New Roman"/>
                <w:sz w:val="18"/>
                <w:szCs w:val="18"/>
                <w:color w:val="0000EE"/>
              </w:rPr>
            </w:pPr>
            <w:hyperlink r:id="rId18">
              <w:r>
                <w:rPr>
                  <w:rFonts w:ascii="Times New Roman" w:cs="Times New Roman" w:eastAsia="Times New Roman" w:hAnsi="Times New Roman"/>
                  <w:sz w:val="18"/>
                  <w:szCs w:val="18"/>
                  <w:color w:val="0000EE"/>
                </w:rPr>
                <w:t>Registrant’s Amendment No. 2 to Registration Statement on Form 10 (File No. 000-56424, filed with the Commission on July 5,</w:t>
              </w:r>
            </w:hyperlink>
          </w:p>
        </w:tc>
      </w:tr>
      <w:tr>
        <w:trPr>
          <w:trHeight w:val="183"/>
        </w:trPr>
        <w:tc>
          <w:tcPr>
            <w:tcW w:w="1100" w:type="dxa"/>
            <w:vAlign w:val="bottom"/>
          </w:tcPr>
          <w:p>
            <w:pPr>
              <w:spacing w:after="0"/>
              <w:rPr>
                <w:sz w:val="15"/>
                <w:szCs w:val="15"/>
                <w:color w:val="auto"/>
              </w:rPr>
            </w:pPr>
          </w:p>
        </w:tc>
        <w:tc>
          <w:tcPr>
            <w:tcW w:w="480" w:type="dxa"/>
            <w:vAlign w:val="bottom"/>
            <w:tcBorders>
              <w:top w:val="single" w:sz="8" w:color="0000EE"/>
              <w:bottom w:val="single" w:sz="8" w:color="0000EE"/>
            </w:tcBorders>
          </w:tcPr>
          <w:p>
            <w:pPr>
              <w:spacing w:after="0" w:line="182" w:lineRule="exact"/>
              <w:rPr>
                <w:rFonts w:ascii="Times New Roman" w:cs="Times New Roman" w:eastAsia="Times New Roman" w:hAnsi="Times New Roman"/>
                <w:sz w:val="18"/>
                <w:szCs w:val="18"/>
                <w:color w:val="0000EE"/>
                <w:w w:val="95"/>
              </w:rPr>
            </w:pPr>
            <w:hyperlink r:id="rId18">
              <w:r>
                <w:rPr>
                  <w:rFonts w:ascii="Times New Roman" w:cs="Times New Roman" w:eastAsia="Times New Roman" w:hAnsi="Times New Roman"/>
                  <w:sz w:val="18"/>
                  <w:szCs w:val="18"/>
                  <w:color w:val="0000EE"/>
                  <w:w w:val="95"/>
                </w:rPr>
                <w:t>2022)</w:t>
              </w:r>
              <w:r>
                <w:rPr>
                  <w:rFonts w:ascii="Times New Roman" w:cs="Times New Roman" w:eastAsia="Times New Roman" w:hAnsi="Times New Roman"/>
                  <w:sz w:val="18"/>
                  <w:szCs w:val="18"/>
                  <w:u w:val="single" w:color="auto"/>
                  <w:color w:val="0000EE"/>
                  <w:w w:val="95"/>
                </w:rPr>
                <w:t>)</w:t>
              </w:r>
            </w:hyperlink>
          </w:p>
        </w:tc>
        <w:tc>
          <w:tcPr>
            <w:tcW w:w="2240" w:type="dxa"/>
            <w:vAlign w:val="bottom"/>
            <w:tcBorders>
              <w:top w:val="single" w:sz="8" w:color="0000EE"/>
            </w:tcBorders>
          </w:tcPr>
          <w:p>
            <w:pPr>
              <w:spacing w:after="0"/>
              <w:rPr>
                <w:sz w:val="15"/>
                <w:szCs w:val="15"/>
                <w:color w:val="auto"/>
              </w:rPr>
            </w:pPr>
          </w:p>
        </w:tc>
        <w:tc>
          <w:tcPr>
            <w:tcW w:w="6160" w:type="dxa"/>
            <w:vAlign w:val="bottom"/>
            <w:tcBorders>
              <w:top w:val="single" w:sz="8" w:color="0000EE"/>
            </w:tcBorders>
          </w:tcPr>
          <w:p>
            <w:pPr>
              <w:spacing w:after="0"/>
              <w:rPr>
                <w:sz w:val="15"/>
                <w:szCs w:val="15"/>
                <w:color w:val="auto"/>
              </w:rPr>
            </w:pPr>
          </w:p>
        </w:tc>
        <w:tc>
          <w:tcPr>
            <w:tcW w:w="400" w:type="dxa"/>
            <w:vAlign w:val="bottom"/>
            <w:tcBorders>
              <w:top w:val="single" w:sz="8" w:color="0000EE"/>
            </w:tcBorders>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r>
    </w:tbl>
    <w:p>
      <w:pPr>
        <w:spacing w:after="0" w:line="130" w:lineRule="exact"/>
        <w:rPr>
          <w:sz w:val="20"/>
          <w:szCs w:val="20"/>
          <w:color w:val="auto"/>
        </w:rPr>
      </w:pPr>
    </w:p>
    <w:p>
      <w:pPr>
        <w:ind w:left="1680" w:hanging="1024"/>
        <w:spacing w:after="0"/>
        <w:tabs>
          <w:tab w:leader="none" w:pos="1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Filing Fee Table*</w:t>
      </w:r>
    </w:p>
    <w:p>
      <w:pPr>
        <w:spacing w:after="0" w:line="1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______________</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31" w:lineRule="exact"/>
        <w:rPr>
          <w:sz w:val="20"/>
          <w:szCs w:val="20"/>
          <w:color w:val="auto"/>
        </w:rPr>
      </w:pPr>
    </w:p>
    <w:p>
      <w:pPr>
        <w:jc w:val="both"/>
        <w:ind w:right="80" w:firstLine="441"/>
        <w:spacing w:after="0" w:line="255"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San Mateo, State of California, on this 27th day of February, 2025.</w:t>
      </w:r>
    </w:p>
    <w:p>
      <w:pPr>
        <w:spacing w:after="0" w:line="276"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2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LIFE360, INC.</w:t>
            </w:r>
          </w:p>
        </w:tc>
        <w:tc>
          <w:tcPr>
            <w:tcW w:w="4700" w:type="dxa"/>
            <w:vAlign w:val="bottom"/>
          </w:tcPr>
          <w:p>
            <w:pPr>
              <w:spacing w:after="0"/>
              <w:rPr>
                <w:sz w:val="20"/>
                <w:szCs w:val="20"/>
                <w:color w:val="auto"/>
              </w:rPr>
            </w:pPr>
          </w:p>
        </w:tc>
      </w:tr>
      <w:tr>
        <w:trPr>
          <w:trHeight w:val="472"/>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Chris Hulls</w:t>
            </w:r>
          </w:p>
        </w:tc>
        <w:tc>
          <w:tcPr>
            <w:tcW w:w="4700" w:type="dxa"/>
            <w:vAlign w:val="bottom"/>
          </w:tcPr>
          <w:p>
            <w:pPr>
              <w:spacing w:after="0"/>
              <w:rPr>
                <w:sz w:val="24"/>
                <w:szCs w:val="24"/>
                <w:color w:val="auto"/>
              </w:rPr>
            </w:pPr>
          </w:p>
        </w:tc>
      </w:tr>
      <w:tr>
        <w:trPr>
          <w:trHeight w:val="27"/>
        </w:trPr>
        <w:tc>
          <w:tcPr>
            <w:tcW w:w="8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700" w:type="dxa"/>
            <w:vAlign w:val="bottom"/>
            <w:tcBorders>
              <w:bottom w:val="single" w:sz="8" w:color="auto"/>
            </w:tcBorders>
          </w:tcPr>
          <w:p>
            <w:pPr>
              <w:spacing w:after="0"/>
              <w:rPr>
                <w:sz w:val="2"/>
                <w:szCs w:val="2"/>
                <w:color w:val="auto"/>
              </w:rPr>
            </w:pPr>
          </w:p>
        </w:tc>
      </w:tr>
      <w:tr>
        <w:trPr>
          <w:trHeight w:val="228"/>
        </w:trPr>
        <w:tc>
          <w:tcPr>
            <w:tcW w:w="86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Chris Hulls</w:t>
            </w:r>
          </w:p>
        </w:tc>
      </w:tr>
      <w:tr>
        <w:trPr>
          <w:trHeight w:val="252"/>
        </w:trPr>
        <w:tc>
          <w:tcPr>
            <w:tcW w:w="860" w:type="dxa"/>
            <w:vAlign w:val="bottom"/>
          </w:tcPr>
          <w:p>
            <w:pPr>
              <w:spacing w:after="0"/>
              <w:rPr>
                <w:sz w:val="21"/>
                <w:szCs w:val="21"/>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927" w:right="339" w:bottom="1440" w:gutter="0" w:footer="0" w:header="0"/>
          <w:type w:val="continuous"/>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31" w:lineRule="exact"/>
        <w:rPr>
          <w:sz w:val="20"/>
          <w:szCs w:val="20"/>
          <w:color w:val="auto"/>
        </w:rPr>
      </w:pPr>
    </w:p>
    <w:p>
      <w:pPr>
        <w:ind w:right="80" w:firstLine="441"/>
        <w:spacing w:after="0" w:line="251" w:lineRule="auto"/>
        <w:rPr>
          <w:sz w:val="20"/>
          <w:szCs w:val="20"/>
          <w:color w:val="auto"/>
        </w:rPr>
      </w:pPr>
      <w:r>
        <w:rPr>
          <w:rFonts w:ascii="Times New Roman" w:cs="Times New Roman" w:eastAsia="Times New Roman" w:hAnsi="Times New Roman"/>
          <w:sz w:val="18"/>
          <w:szCs w:val="18"/>
          <w:color w:val="auto"/>
        </w:rPr>
        <w:t>KNOW ALL PERSONS BY THESE PRESENTS, that each individual whose signature appears below constitutes and appoints Chris Hulls and Russell Burke, and each or any of them, as such individual’s true and lawful attorneys-in-fact and agents with full power of substitution and resubstitution, for such individual and in such individual’s name, place and stead, in any and all capacities, to sign any and all amendments (including post-effective amendments) to this Registration Statement, and to file the same, with all exhibits thereto and all other documents in connection therewith, with the Commission, granting unto said attorneys-in-fact and agents, and each of them, full power and authority to do and perform each and every act and thing requisite and necessary to be done in connection therewith, as fully to all intents and purposes as such individual might or could do in person, hereby ratifying and confirming all that said attorneys-in-fact and agents, or any of them or their substitute or substitutes, may lawfully do or cause to be done by virtue hereof. This Power of Attorney may be signed in one or more counterparts, each of which shall be an original, with the same effect as if the signatures thereto and hereto were upon the same instrument.</w:t>
      </w:r>
    </w:p>
    <w:p>
      <w:pPr>
        <w:spacing w:after="0" w:line="220" w:lineRule="exact"/>
        <w:rPr>
          <w:sz w:val="20"/>
          <w:szCs w:val="20"/>
          <w:color w:val="auto"/>
        </w:rPr>
      </w:pPr>
    </w:p>
    <w:p>
      <w:pPr>
        <w:ind w:right="160"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by the following persons in the capacities and on the dates indicated: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Name</w:t>
            </w:r>
          </w:p>
        </w:tc>
        <w:tc>
          <w:tcPr>
            <w:tcW w:w="80" w:type="dxa"/>
            <w:vAlign w:val="bottom"/>
          </w:tcPr>
          <w:p>
            <w:pPr>
              <w:spacing w:after="0"/>
              <w:rPr>
                <w:sz w:val="20"/>
                <w:szCs w:val="20"/>
                <w:color w:val="auto"/>
              </w:rPr>
            </w:pPr>
          </w:p>
        </w:tc>
        <w:tc>
          <w:tcPr>
            <w:tcW w:w="44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0" w:type="dxa"/>
            <w:vAlign w:val="bottom"/>
          </w:tcPr>
          <w:p>
            <w:pPr>
              <w:spacing w:after="0"/>
              <w:rPr>
                <w:sz w:val="1"/>
                <w:szCs w:val="1"/>
                <w:color w:val="auto"/>
              </w:rPr>
            </w:pPr>
          </w:p>
        </w:tc>
      </w:tr>
      <w:tr>
        <w:trPr>
          <w:trHeight w:val="27"/>
        </w:trPr>
        <w:tc>
          <w:tcPr>
            <w:tcW w:w="4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94"/>
        </w:trPr>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Chris Hulls</w:t>
            </w:r>
          </w:p>
        </w:tc>
        <w:tc>
          <w:tcPr>
            <w:tcW w:w="80" w:type="dxa"/>
            <w:vAlign w:val="bottom"/>
          </w:tcPr>
          <w:p>
            <w:pPr>
              <w:spacing w:after="0"/>
              <w:rPr>
                <w:sz w:val="24"/>
                <w:szCs w:val="24"/>
                <w:color w:val="auto"/>
              </w:rPr>
            </w:pPr>
          </w:p>
        </w:tc>
        <w:tc>
          <w:tcPr>
            <w:tcW w:w="44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27, 2025</w:t>
            </w:r>
          </w:p>
        </w:tc>
        <w:tc>
          <w:tcPr>
            <w:tcW w:w="0" w:type="dxa"/>
            <w:vAlign w:val="bottom"/>
          </w:tcPr>
          <w:p>
            <w:pPr>
              <w:spacing w:after="0"/>
              <w:rPr>
                <w:sz w:val="1"/>
                <w:szCs w:val="1"/>
                <w:color w:val="auto"/>
              </w:rPr>
            </w:pPr>
          </w:p>
        </w:tc>
      </w:tr>
      <w:tr>
        <w:trPr>
          <w:trHeight w:val="59"/>
        </w:trPr>
        <w:tc>
          <w:tcPr>
            <w:tcW w:w="4360" w:type="dxa"/>
            <w:vAlign w:val="bottom"/>
            <w:tcBorders>
              <w:bottom w:val="single" w:sz="8" w:color="auto"/>
            </w:tcBorders>
          </w:tcPr>
          <w:p>
            <w:pPr>
              <w:spacing w:after="0"/>
              <w:rPr>
                <w:sz w:val="5"/>
                <w:szCs w:val="5"/>
                <w:color w:val="auto"/>
              </w:rPr>
            </w:pPr>
          </w:p>
        </w:tc>
        <w:tc>
          <w:tcPr>
            <w:tcW w:w="80" w:type="dxa"/>
            <w:vAlign w:val="bottom"/>
            <w:vMerge w:val="restart"/>
          </w:tcPr>
          <w:p>
            <w:pPr>
              <w:spacing w:after="0"/>
              <w:rPr>
                <w:sz w:val="5"/>
                <w:szCs w:val="5"/>
                <w:color w:val="auto"/>
              </w:rPr>
            </w:pPr>
          </w:p>
        </w:tc>
        <w:tc>
          <w:tcPr>
            <w:tcW w:w="44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43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Chris Hulls</w:t>
            </w:r>
          </w:p>
        </w:tc>
        <w:tc>
          <w:tcPr>
            <w:tcW w:w="80" w:type="dxa"/>
            <w:vAlign w:val="bottom"/>
            <w:vMerge w:val="continue"/>
          </w:tcPr>
          <w:p>
            <w:pPr>
              <w:spacing w:after="0"/>
              <w:rPr>
                <w:sz w:val="13"/>
                <w:szCs w:val="13"/>
                <w:color w:val="auto"/>
              </w:rPr>
            </w:pPr>
          </w:p>
        </w:tc>
        <w:tc>
          <w:tcPr>
            <w:tcW w:w="4480" w:type="dxa"/>
            <w:vAlign w:val="bottom"/>
            <w:gridSpan w:val="2"/>
            <w:vMerge w:val="continue"/>
          </w:tcPr>
          <w:p>
            <w:pPr>
              <w:spacing w:after="0"/>
              <w:rPr>
                <w:sz w:val="13"/>
                <w:szCs w:val="13"/>
                <w:color w:val="auto"/>
              </w:rPr>
            </w:pPr>
          </w:p>
        </w:tc>
        <w:tc>
          <w:tcPr>
            <w:tcW w:w="2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2"/>
        </w:trPr>
        <w:tc>
          <w:tcPr>
            <w:tcW w:w="436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4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90"/>
        </w:trPr>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 Russell Burke</w:t>
            </w:r>
          </w:p>
        </w:tc>
        <w:tc>
          <w:tcPr>
            <w:tcW w:w="80" w:type="dxa"/>
            <w:vAlign w:val="bottom"/>
          </w:tcPr>
          <w:p>
            <w:pPr>
              <w:spacing w:after="0"/>
              <w:rPr>
                <w:sz w:val="24"/>
                <w:szCs w:val="24"/>
                <w:color w:val="auto"/>
              </w:rPr>
            </w:pPr>
          </w:p>
        </w:tc>
        <w:tc>
          <w:tcPr>
            <w:tcW w:w="44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27, 2025</w:t>
            </w:r>
          </w:p>
        </w:tc>
        <w:tc>
          <w:tcPr>
            <w:tcW w:w="0" w:type="dxa"/>
            <w:vAlign w:val="bottom"/>
          </w:tcPr>
          <w:p>
            <w:pPr>
              <w:spacing w:after="0"/>
              <w:rPr>
                <w:sz w:val="1"/>
                <w:szCs w:val="1"/>
                <w:color w:val="auto"/>
              </w:rPr>
            </w:pPr>
          </w:p>
        </w:tc>
      </w:tr>
      <w:tr>
        <w:trPr>
          <w:trHeight w:val="59"/>
        </w:trPr>
        <w:tc>
          <w:tcPr>
            <w:tcW w:w="4360" w:type="dxa"/>
            <w:vAlign w:val="bottom"/>
            <w:tcBorders>
              <w:bottom w:val="single" w:sz="8" w:color="auto"/>
            </w:tcBorders>
          </w:tcPr>
          <w:p>
            <w:pPr>
              <w:spacing w:after="0"/>
              <w:rPr>
                <w:sz w:val="5"/>
                <w:szCs w:val="5"/>
                <w:color w:val="auto"/>
              </w:rPr>
            </w:pPr>
          </w:p>
        </w:tc>
        <w:tc>
          <w:tcPr>
            <w:tcW w:w="80" w:type="dxa"/>
            <w:vAlign w:val="bottom"/>
            <w:vMerge w:val="restart"/>
          </w:tcPr>
          <w:p>
            <w:pPr>
              <w:spacing w:after="0"/>
              <w:rPr>
                <w:sz w:val="5"/>
                <w:szCs w:val="5"/>
                <w:color w:val="auto"/>
              </w:rPr>
            </w:pPr>
          </w:p>
        </w:tc>
        <w:tc>
          <w:tcPr>
            <w:tcW w:w="44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2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43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Russell Burke</w:t>
            </w:r>
          </w:p>
        </w:tc>
        <w:tc>
          <w:tcPr>
            <w:tcW w:w="80" w:type="dxa"/>
            <w:vAlign w:val="bottom"/>
            <w:vMerge w:val="continue"/>
          </w:tcPr>
          <w:p>
            <w:pPr>
              <w:spacing w:after="0"/>
              <w:rPr>
                <w:sz w:val="13"/>
                <w:szCs w:val="13"/>
                <w:color w:val="auto"/>
              </w:rPr>
            </w:pPr>
          </w:p>
        </w:tc>
        <w:tc>
          <w:tcPr>
            <w:tcW w:w="4480" w:type="dxa"/>
            <w:vAlign w:val="bottom"/>
            <w:gridSpan w:val="2"/>
            <w:vMerge w:val="continue"/>
          </w:tcPr>
          <w:p>
            <w:pPr>
              <w:spacing w:after="0"/>
              <w:rPr>
                <w:sz w:val="13"/>
                <w:szCs w:val="13"/>
                <w:color w:val="auto"/>
              </w:rPr>
            </w:pPr>
          </w:p>
        </w:tc>
        <w:tc>
          <w:tcPr>
            <w:tcW w:w="2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2"/>
        </w:trPr>
        <w:tc>
          <w:tcPr>
            <w:tcW w:w="436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4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22"/>
        </w:trPr>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Charles (CJ) Prober</w:t>
            </w:r>
          </w:p>
        </w:tc>
        <w:tc>
          <w:tcPr>
            <w:tcW w:w="80" w:type="dxa"/>
            <w:vAlign w:val="bottom"/>
          </w:tcPr>
          <w:p>
            <w:pPr>
              <w:spacing w:after="0"/>
              <w:rPr>
                <w:sz w:val="24"/>
                <w:szCs w:val="24"/>
                <w:color w:val="auto"/>
              </w:rPr>
            </w:pPr>
          </w:p>
        </w:tc>
        <w:tc>
          <w:tcPr>
            <w:tcW w:w="44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Director</w:t>
            </w: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27, 2025</w:t>
            </w:r>
          </w:p>
        </w:tc>
        <w:tc>
          <w:tcPr>
            <w:tcW w:w="0" w:type="dxa"/>
            <w:vAlign w:val="bottom"/>
          </w:tcPr>
          <w:p>
            <w:pPr>
              <w:spacing w:after="0"/>
              <w:rPr>
                <w:sz w:val="1"/>
                <w:szCs w:val="1"/>
                <w:color w:val="auto"/>
              </w:rPr>
            </w:pPr>
          </w:p>
        </w:tc>
      </w:tr>
      <w:tr>
        <w:trPr>
          <w:trHeight w:val="27"/>
        </w:trPr>
        <w:tc>
          <w:tcPr>
            <w:tcW w:w="4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Charles (CJ) Prober</w:t>
            </w:r>
          </w:p>
        </w:tc>
        <w:tc>
          <w:tcPr>
            <w:tcW w:w="8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22"/>
        </w:trPr>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John Philip Coghlan</w:t>
            </w:r>
          </w:p>
        </w:tc>
        <w:tc>
          <w:tcPr>
            <w:tcW w:w="80" w:type="dxa"/>
            <w:vAlign w:val="bottom"/>
          </w:tcPr>
          <w:p>
            <w:pPr>
              <w:spacing w:after="0"/>
              <w:rPr>
                <w:sz w:val="24"/>
                <w:szCs w:val="24"/>
                <w:color w:val="auto"/>
              </w:rPr>
            </w:pPr>
          </w:p>
        </w:tc>
        <w:tc>
          <w:tcPr>
            <w:tcW w:w="44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Chair of the Board of Directors</w:t>
            </w: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27, 2025</w:t>
            </w:r>
          </w:p>
        </w:tc>
        <w:tc>
          <w:tcPr>
            <w:tcW w:w="0" w:type="dxa"/>
            <w:vAlign w:val="bottom"/>
          </w:tcPr>
          <w:p>
            <w:pPr>
              <w:spacing w:after="0"/>
              <w:rPr>
                <w:sz w:val="1"/>
                <w:szCs w:val="1"/>
                <w:color w:val="auto"/>
              </w:rPr>
            </w:pPr>
          </w:p>
        </w:tc>
      </w:tr>
      <w:tr>
        <w:trPr>
          <w:trHeight w:val="27"/>
        </w:trPr>
        <w:tc>
          <w:tcPr>
            <w:tcW w:w="4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John Philip Coghlan</w:t>
            </w:r>
          </w:p>
        </w:tc>
        <w:tc>
          <w:tcPr>
            <w:tcW w:w="8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22"/>
        </w:trPr>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Mark Goines</w:t>
            </w:r>
          </w:p>
        </w:tc>
        <w:tc>
          <w:tcPr>
            <w:tcW w:w="80" w:type="dxa"/>
            <w:vAlign w:val="bottom"/>
          </w:tcPr>
          <w:p>
            <w:pPr>
              <w:spacing w:after="0"/>
              <w:rPr>
                <w:sz w:val="24"/>
                <w:szCs w:val="24"/>
                <w:color w:val="auto"/>
              </w:rPr>
            </w:pPr>
          </w:p>
        </w:tc>
        <w:tc>
          <w:tcPr>
            <w:tcW w:w="44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Director</w:t>
            </w: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27, 2025</w:t>
            </w:r>
          </w:p>
        </w:tc>
        <w:tc>
          <w:tcPr>
            <w:tcW w:w="0" w:type="dxa"/>
            <w:vAlign w:val="bottom"/>
          </w:tcPr>
          <w:p>
            <w:pPr>
              <w:spacing w:after="0"/>
              <w:rPr>
                <w:sz w:val="1"/>
                <w:szCs w:val="1"/>
                <w:color w:val="auto"/>
              </w:rPr>
            </w:pPr>
          </w:p>
        </w:tc>
      </w:tr>
      <w:tr>
        <w:trPr>
          <w:trHeight w:val="27"/>
        </w:trPr>
        <w:tc>
          <w:tcPr>
            <w:tcW w:w="4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Mark Goines</w:t>
            </w:r>
          </w:p>
        </w:tc>
        <w:tc>
          <w:tcPr>
            <w:tcW w:w="8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22"/>
        </w:trPr>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 Alex Haro</w:t>
            </w:r>
          </w:p>
        </w:tc>
        <w:tc>
          <w:tcPr>
            <w:tcW w:w="80" w:type="dxa"/>
            <w:vAlign w:val="bottom"/>
          </w:tcPr>
          <w:p>
            <w:pPr>
              <w:spacing w:after="0"/>
              <w:rPr>
                <w:sz w:val="24"/>
                <w:szCs w:val="24"/>
                <w:color w:val="auto"/>
              </w:rPr>
            </w:pPr>
          </w:p>
        </w:tc>
        <w:tc>
          <w:tcPr>
            <w:tcW w:w="44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Director</w:t>
            </w: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27, 2025</w:t>
            </w:r>
          </w:p>
        </w:tc>
        <w:tc>
          <w:tcPr>
            <w:tcW w:w="0" w:type="dxa"/>
            <w:vAlign w:val="bottom"/>
          </w:tcPr>
          <w:p>
            <w:pPr>
              <w:spacing w:after="0"/>
              <w:rPr>
                <w:sz w:val="1"/>
                <w:szCs w:val="1"/>
                <w:color w:val="auto"/>
              </w:rPr>
            </w:pPr>
          </w:p>
        </w:tc>
      </w:tr>
      <w:tr>
        <w:trPr>
          <w:trHeight w:val="27"/>
        </w:trPr>
        <w:tc>
          <w:tcPr>
            <w:tcW w:w="4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Alex Haro</w:t>
            </w:r>
          </w:p>
        </w:tc>
        <w:tc>
          <w:tcPr>
            <w:tcW w:w="8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22"/>
        </w:trPr>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 Brit Morin</w:t>
            </w:r>
          </w:p>
        </w:tc>
        <w:tc>
          <w:tcPr>
            <w:tcW w:w="80" w:type="dxa"/>
            <w:vAlign w:val="bottom"/>
          </w:tcPr>
          <w:p>
            <w:pPr>
              <w:spacing w:after="0"/>
              <w:rPr>
                <w:sz w:val="24"/>
                <w:szCs w:val="24"/>
                <w:color w:val="auto"/>
              </w:rPr>
            </w:pPr>
          </w:p>
        </w:tc>
        <w:tc>
          <w:tcPr>
            <w:tcW w:w="44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Director</w:t>
            </w: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27, 2025</w:t>
            </w:r>
          </w:p>
        </w:tc>
        <w:tc>
          <w:tcPr>
            <w:tcW w:w="0" w:type="dxa"/>
            <w:vAlign w:val="bottom"/>
          </w:tcPr>
          <w:p>
            <w:pPr>
              <w:spacing w:after="0"/>
              <w:rPr>
                <w:sz w:val="1"/>
                <w:szCs w:val="1"/>
                <w:color w:val="auto"/>
              </w:rPr>
            </w:pPr>
          </w:p>
        </w:tc>
      </w:tr>
      <w:tr>
        <w:trPr>
          <w:trHeight w:val="27"/>
        </w:trPr>
        <w:tc>
          <w:tcPr>
            <w:tcW w:w="4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Brit Morin</w:t>
            </w:r>
          </w:p>
        </w:tc>
        <w:tc>
          <w:tcPr>
            <w:tcW w:w="8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22"/>
        </w:trPr>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 James Synge</w:t>
            </w:r>
          </w:p>
        </w:tc>
        <w:tc>
          <w:tcPr>
            <w:tcW w:w="80" w:type="dxa"/>
            <w:vAlign w:val="bottom"/>
          </w:tcPr>
          <w:p>
            <w:pPr>
              <w:spacing w:after="0"/>
              <w:rPr>
                <w:sz w:val="24"/>
                <w:szCs w:val="24"/>
                <w:color w:val="auto"/>
              </w:rPr>
            </w:pPr>
          </w:p>
        </w:tc>
        <w:tc>
          <w:tcPr>
            <w:tcW w:w="44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Director</w:t>
            </w: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27, 2025</w:t>
            </w:r>
          </w:p>
        </w:tc>
        <w:tc>
          <w:tcPr>
            <w:tcW w:w="0" w:type="dxa"/>
            <w:vAlign w:val="bottom"/>
          </w:tcPr>
          <w:p>
            <w:pPr>
              <w:spacing w:after="0"/>
              <w:rPr>
                <w:sz w:val="1"/>
                <w:szCs w:val="1"/>
                <w:color w:val="auto"/>
              </w:rPr>
            </w:pPr>
          </w:p>
        </w:tc>
      </w:tr>
      <w:tr>
        <w:trPr>
          <w:trHeight w:val="27"/>
        </w:trPr>
        <w:tc>
          <w:tcPr>
            <w:tcW w:w="4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James Synge</w:t>
            </w:r>
          </w:p>
        </w:tc>
        <w:tc>
          <w:tcPr>
            <w:tcW w:w="8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22"/>
        </w:trPr>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 David Wiadrowski</w:t>
            </w:r>
          </w:p>
        </w:tc>
        <w:tc>
          <w:tcPr>
            <w:tcW w:w="80" w:type="dxa"/>
            <w:vAlign w:val="bottom"/>
          </w:tcPr>
          <w:p>
            <w:pPr>
              <w:spacing w:after="0"/>
              <w:rPr>
                <w:sz w:val="24"/>
                <w:szCs w:val="24"/>
                <w:color w:val="auto"/>
              </w:rPr>
            </w:pPr>
          </w:p>
        </w:tc>
        <w:tc>
          <w:tcPr>
            <w:tcW w:w="44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Director</w:t>
            </w: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27, 2025</w:t>
            </w:r>
          </w:p>
        </w:tc>
        <w:tc>
          <w:tcPr>
            <w:tcW w:w="0" w:type="dxa"/>
            <w:vAlign w:val="bottom"/>
          </w:tcPr>
          <w:p>
            <w:pPr>
              <w:spacing w:after="0"/>
              <w:rPr>
                <w:sz w:val="1"/>
                <w:szCs w:val="1"/>
                <w:color w:val="auto"/>
              </w:rPr>
            </w:pPr>
          </w:p>
        </w:tc>
      </w:tr>
      <w:tr>
        <w:trPr>
          <w:trHeight w:val="27"/>
        </w:trPr>
        <w:tc>
          <w:tcPr>
            <w:tcW w:w="4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David Wiadrowski</w:t>
            </w:r>
          </w:p>
        </w:tc>
        <w:tc>
          <w:tcPr>
            <w:tcW w:w="8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22"/>
        </w:trPr>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Randi Zuckerberg</w:t>
            </w:r>
          </w:p>
        </w:tc>
        <w:tc>
          <w:tcPr>
            <w:tcW w:w="80" w:type="dxa"/>
            <w:vAlign w:val="bottom"/>
          </w:tcPr>
          <w:p>
            <w:pPr>
              <w:spacing w:after="0"/>
              <w:rPr>
                <w:sz w:val="24"/>
                <w:szCs w:val="24"/>
                <w:color w:val="auto"/>
              </w:rPr>
            </w:pPr>
          </w:p>
        </w:tc>
        <w:tc>
          <w:tcPr>
            <w:tcW w:w="44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Director</w:t>
            </w: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27, 2025</w:t>
            </w:r>
          </w:p>
        </w:tc>
        <w:tc>
          <w:tcPr>
            <w:tcW w:w="0" w:type="dxa"/>
            <w:vAlign w:val="bottom"/>
          </w:tcPr>
          <w:p>
            <w:pPr>
              <w:spacing w:after="0"/>
              <w:rPr>
                <w:sz w:val="1"/>
                <w:szCs w:val="1"/>
                <w:color w:val="auto"/>
              </w:rPr>
            </w:pPr>
          </w:p>
        </w:tc>
      </w:tr>
      <w:tr>
        <w:trPr>
          <w:trHeight w:val="27"/>
        </w:trPr>
        <w:tc>
          <w:tcPr>
            <w:tcW w:w="4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Randi Zuckerberg</w:t>
            </w:r>
          </w:p>
        </w:tc>
        <w:tc>
          <w:tcPr>
            <w:tcW w:w="8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927" w:right="359" w:bottom="1440" w:gutter="0" w:footer="0" w:header="0"/>
        </w:sectPr>
      </w:pPr>
    </w:p>
    <w:bookmarkStart w:id="6" w:name="page7"/>
    <w:bookmarkEnd w:id="6"/>
    <w:p>
      <w:pPr>
        <w:ind w:left="2840"/>
        <w:spacing w:after="0"/>
        <w:rPr>
          <w:sz w:val="20"/>
          <w:szCs w:val="20"/>
          <w:color w:val="auto"/>
        </w:rPr>
      </w:pPr>
      <w:r>
        <w:rPr>
          <w:rFonts w:ascii="Arial" w:cs="Arial" w:eastAsia="Arial" w:hAnsi="Arial"/>
          <w:sz w:val="36"/>
          <w:szCs w:val="36"/>
          <w:b w:val="1"/>
          <w:bCs w:val="1"/>
          <w:color w:val="auto"/>
        </w:rPr>
        <w:t>Calculation of Filing Fee Tables</w:t>
      </w:r>
    </w:p>
    <w:p>
      <w:pPr>
        <w:spacing w:after="0" w:line="221" w:lineRule="exact"/>
        <w:rPr>
          <w:sz w:val="20"/>
          <w:szCs w:val="20"/>
          <w:color w:val="auto"/>
        </w:rPr>
      </w:pPr>
    </w:p>
    <w:p>
      <w:pPr>
        <w:ind w:left="5220"/>
        <w:spacing w:after="0"/>
        <w:rPr>
          <w:sz w:val="20"/>
          <w:szCs w:val="20"/>
          <w:color w:val="auto"/>
        </w:rPr>
      </w:pPr>
      <w:r>
        <w:rPr>
          <w:rFonts w:ascii="Arial" w:cs="Arial" w:eastAsia="Arial" w:hAnsi="Arial"/>
          <w:sz w:val="36"/>
          <w:szCs w:val="36"/>
          <w:b w:val="1"/>
          <w:bCs w:val="1"/>
          <w:color w:val="auto"/>
        </w:rPr>
        <w:t>S-8</w:t>
      </w:r>
    </w:p>
    <w:p>
      <w:pPr>
        <w:spacing w:after="0" w:line="126" w:lineRule="exact"/>
        <w:rPr>
          <w:sz w:val="20"/>
          <w:szCs w:val="20"/>
          <w:color w:val="auto"/>
        </w:rPr>
      </w:pPr>
    </w:p>
    <w:p>
      <w:pPr>
        <w:jc w:val="center"/>
        <w:ind w:right="120"/>
        <w:spacing w:after="0"/>
        <w:rPr>
          <w:sz w:val="20"/>
          <w:szCs w:val="20"/>
          <w:color w:val="auto"/>
        </w:rPr>
      </w:pPr>
      <w:r>
        <w:rPr>
          <w:rFonts w:ascii="Arial" w:cs="Arial" w:eastAsia="Arial" w:hAnsi="Arial"/>
          <w:sz w:val="36"/>
          <w:szCs w:val="36"/>
          <w:b w:val="1"/>
          <w:bCs w:val="1"/>
          <w:color w:val="auto"/>
        </w:rPr>
        <w:t>Life360, Inc.</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Table 1: Newly Registered Securities</w:t>
      </w:r>
    </w:p>
    <w:p>
      <w:pPr>
        <w:spacing w:after="0" w:line="45" w:lineRule="exact"/>
        <w:rPr>
          <w:sz w:val="20"/>
          <w:szCs w:val="20"/>
          <w:color w:val="auto"/>
        </w:rPr>
      </w:pPr>
    </w:p>
    <w:tbl>
      <w:tblPr>
        <w:tblLayout w:type="fixed"/>
        <w:tblInd w:w="550" w:type="dxa"/>
        <w:tblCellMar>
          <w:top w:w="0" w:type="dxa"/>
          <w:left w:w="0" w:type="dxa"/>
          <w:bottom w:w="0" w:type="dxa"/>
          <w:right w:w="0" w:type="dxa"/>
        </w:tblCellMar>
      </w:tblPr>
      <w:tr>
        <w:trPr>
          <w:trHeight w:val="40"/>
        </w:trPr>
        <w:tc>
          <w:tcPr>
            <w:tcW w:w="40" w:type="dxa"/>
            <w:vAlign w:val="bottom"/>
            <w:tcBorders>
              <w:top w:val="single" w:sz="8" w:color="auto"/>
              <w:left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4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9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20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14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3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5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0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480" w:type="dxa"/>
            <w:vAlign w:val="bottom"/>
            <w:tcBorders>
              <w:top w:val="single" w:sz="8" w:color="auto"/>
            </w:tcBorders>
          </w:tcPr>
          <w:p>
            <w:pPr>
              <w:spacing w:after="0"/>
              <w:rPr>
                <w:sz w:val="3"/>
                <w:szCs w:val="3"/>
                <w:color w:val="auto"/>
              </w:rPr>
            </w:pPr>
          </w:p>
        </w:tc>
        <w:tc>
          <w:tcPr>
            <w:tcW w:w="40" w:type="dxa"/>
            <w:vAlign w:val="bottom"/>
            <w:tcBorders>
              <w:top w:val="single" w:sz="8" w:color="auto"/>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40" w:type="dxa"/>
            <w:vAlign w:val="bottom"/>
            <w:tcBorders>
              <w:left w:val="single" w:sz="8" w:color="auto"/>
            </w:tcBorders>
          </w:tcPr>
          <w:p>
            <w:pPr>
              <w:spacing w:after="0"/>
              <w:rPr>
                <w:sz w:val="19"/>
                <w:szCs w:val="19"/>
                <w:color w:val="auto"/>
              </w:rPr>
            </w:pPr>
          </w:p>
        </w:tc>
        <w:tc>
          <w:tcPr>
            <w:tcW w:w="1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300" w:type="dxa"/>
            <w:vAlign w:val="bottom"/>
            <w:shd w:val="clear" w:color="auto" w:fill="9ADAF6"/>
          </w:tcPr>
          <w:p>
            <w:pPr>
              <w:jc w:val="center"/>
              <w:spacing w:after="0" w:line="223" w:lineRule="exact"/>
              <w:rPr>
                <w:sz w:val="20"/>
                <w:szCs w:val="20"/>
                <w:color w:val="auto"/>
              </w:rPr>
            </w:pPr>
            <w:r>
              <w:rPr>
                <w:rFonts w:ascii="Arial" w:cs="Arial" w:eastAsia="Arial" w:hAnsi="Arial"/>
                <w:sz w:val="22"/>
                <w:szCs w:val="22"/>
                <w:b w:val="1"/>
                <w:bCs w:val="1"/>
                <w:color w:val="auto"/>
                <w:w w:val="98"/>
              </w:rPr>
              <w:t>Proposed</w:t>
            </w:r>
          </w:p>
        </w:tc>
        <w:tc>
          <w:tcPr>
            <w:tcW w:w="20" w:type="dxa"/>
            <w:vAlign w:val="bottom"/>
          </w:tcPr>
          <w:p>
            <w:pPr>
              <w:spacing w:after="0"/>
              <w:rPr>
                <w:sz w:val="19"/>
                <w:szCs w:val="19"/>
                <w:color w:val="auto"/>
              </w:rPr>
            </w:pPr>
          </w:p>
        </w:tc>
        <w:tc>
          <w:tcPr>
            <w:tcW w:w="15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39"/>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shd w:val="clear" w:color="auto" w:fill="9ADAF6"/>
          </w:tcPr>
          <w:p>
            <w:pPr>
              <w:jc w:val="center"/>
              <w:spacing w:after="0"/>
              <w:rPr>
                <w:sz w:val="20"/>
                <w:szCs w:val="20"/>
                <w:color w:val="auto"/>
              </w:rPr>
            </w:pPr>
            <w:r>
              <w:rPr>
                <w:rFonts w:ascii="Arial" w:cs="Arial" w:eastAsia="Arial" w:hAnsi="Arial"/>
                <w:sz w:val="22"/>
                <w:szCs w:val="22"/>
                <w:b w:val="1"/>
                <w:bCs w:val="1"/>
                <w:color w:val="auto"/>
                <w:w w:val="96"/>
              </w:rPr>
              <w:t>Security</w:t>
            </w:r>
          </w:p>
        </w:tc>
        <w:tc>
          <w:tcPr>
            <w:tcW w:w="40" w:type="dxa"/>
            <w:vAlign w:val="bottom"/>
          </w:tcPr>
          <w:p>
            <w:pPr>
              <w:spacing w:after="0"/>
              <w:rPr>
                <w:sz w:val="24"/>
                <w:szCs w:val="24"/>
                <w:color w:val="auto"/>
              </w:rPr>
            </w:pPr>
          </w:p>
        </w:tc>
        <w:tc>
          <w:tcPr>
            <w:tcW w:w="940" w:type="dxa"/>
            <w:vAlign w:val="bottom"/>
            <w:shd w:val="clear" w:color="auto" w:fill="9ADAF6"/>
          </w:tcPr>
          <w:p>
            <w:pPr>
              <w:jc w:val="center"/>
              <w:spacing w:after="0"/>
              <w:rPr>
                <w:sz w:val="20"/>
                <w:szCs w:val="20"/>
                <w:color w:val="auto"/>
              </w:rPr>
            </w:pPr>
            <w:r>
              <w:rPr>
                <w:rFonts w:ascii="Arial" w:cs="Arial" w:eastAsia="Arial" w:hAnsi="Arial"/>
                <w:sz w:val="22"/>
                <w:szCs w:val="22"/>
                <w:b w:val="1"/>
                <w:bCs w:val="1"/>
                <w:color w:val="auto"/>
                <w:w w:val="99"/>
              </w:rPr>
              <w:t>Security</w:t>
            </w:r>
          </w:p>
        </w:tc>
        <w:tc>
          <w:tcPr>
            <w:tcW w:w="20" w:type="dxa"/>
            <w:vAlign w:val="bottom"/>
          </w:tcPr>
          <w:p>
            <w:pPr>
              <w:spacing w:after="0"/>
              <w:rPr>
                <w:sz w:val="24"/>
                <w:szCs w:val="24"/>
                <w:color w:val="auto"/>
              </w:rPr>
            </w:pPr>
          </w:p>
        </w:tc>
        <w:tc>
          <w:tcPr>
            <w:tcW w:w="1200" w:type="dxa"/>
            <w:vAlign w:val="bottom"/>
            <w:shd w:val="clear" w:color="auto" w:fill="9ADAF6"/>
          </w:tcPr>
          <w:p>
            <w:pPr>
              <w:jc w:val="center"/>
              <w:spacing w:after="0"/>
              <w:rPr>
                <w:sz w:val="20"/>
                <w:szCs w:val="20"/>
                <w:color w:val="auto"/>
              </w:rPr>
            </w:pPr>
            <w:r>
              <w:rPr>
                <w:rFonts w:ascii="Arial" w:cs="Arial" w:eastAsia="Arial" w:hAnsi="Arial"/>
                <w:sz w:val="22"/>
                <w:szCs w:val="22"/>
                <w:b w:val="1"/>
                <w:bCs w:val="1"/>
                <w:color w:val="auto"/>
              </w:rPr>
              <w:t>Fee</w:t>
            </w:r>
          </w:p>
        </w:tc>
        <w:tc>
          <w:tcPr>
            <w:tcW w:w="40" w:type="dxa"/>
            <w:vAlign w:val="bottom"/>
          </w:tcPr>
          <w:p>
            <w:pPr>
              <w:spacing w:after="0"/>
              <w:rPr>
                <w:sz w:val="24"/>
                <w:szCs w:val="24"/>
                <w:color w:val="auto"/>
              </w:rPr>
            </w:pPr>
          </w:p>
        </w:tc>
        <w:tc>
          <w:tcPr>
            <w:tcW w:w="1140" w:type="dxa"/>
            <w:vAlign w:val="bottom"/>
            <w:shd w:val="clear" w:color="auto" w:fill="9ADAF6"/>
          </w:tcPr>
          <w:p>
            <w:pPr>
              <w:jc w:val="right"/>
              <w:ind w:right="52"/>
              <w:spacing w:after="0"/>
              <w:rPr>
                <w:sz w:val="20"/>
                <w:szCs w:val="20"/>
                <w:color w:val="auto"/>
              </w:rPr>
            </w:pPr>
            <w:r>
              <w:rPr>
                <w:rFonts w:ascii="Arial" w:cs="Arial" w:eastAsia="Arial" w:hAnsi="Arial"/>
                <w:sz w:val="22"/>
                <w:szCs w:val="22"/>
                <w:b w:val="1"/>
                <w:bCs w:val="1"/>
                <w:color w:val="auto"/>
              </w:rPr>
              <w:t>Amount</w:t>
            </w:r>
          </w:p>
        </w:tc>
        <w:tc>
          <w:tcPr>
            <w:tcW w:w="40" w:type="dxa"/>
            <w:vAlign w:val="bottom"/>
          </w:tcPr>
          <w:p>
            <w:pPr>
              <w:spacing w:after="0"/>
              <w:rPr>
                <w:sz w:val="24"/>
                <w:szCs w:val="24"/>
                <w:color w:val="auto"/>
              </w:rPr>
            </w:pPr>
          </w:p>
        </w:tc>
        <w:tc>
          <w:tcPr>
            <w:tcW w:w="1300" w:type="dxa"/>
            <w:vAlign w:val="bottom"/>
            <w:shd w:val="clear" w:color="auto" w:fill="9ADAF6"/>
          </w:tcPr>
          <w:p>
            <w:pPr>
              <w:jc w:val="center"/>
              <w:spacing w:after="0"/>
              <w:rPr>
                <w:sz w:val="20"/>
                <w:szCs w:val="20"/>
                <w:color w:val="auto"/>
              </w:rPr>
            </w:pPr>
            <w:r>
              <w:rPr>
                <w:rFonts w:ascii="Arial" w:cs="Arial" w:eastAsia="Arial" w:hAnsi="Arial"/>
                <w:sz w:val="22"/>
                <w:szCs w:val="22"/>
                <w:b w:val="1"/>
                <w:bCs w:val="1"/>
                <w:color w:val="auto"/>
                <w:w w:val="98"/>
              </w:rPr>
              <w:t>Maximum</w:t>
            </w:r>
          </w:p>
        </w:tc>
        <w:tc>
          <w:tcPr>
            <w:tcW w:w="20" w:type="dxa"/>
            <w:vAlign w:val="bottom"/>
          </w:tcPr>
          <w:p>
            <w:pPr>
              <w:spacing w:after="0"/>
              <w:rPr>
                <w:sz w:val="24"/>
                <w:szCs w:val="24"/>
                <w:color w:val="auto"/>
              </w:rPr>
            </w:pPr>
          </w:p>
        </w:tc>
        <w:tc>
          <w:tcPr>
            <w:tcW w:w="1580" w:type="dxa"/>
            <w:vAlign w:val="bottom"/>
            <w:shd w:val="clear" w:color="auto" w:fill="9ADAF6"/>
          </w:tcPr>
          <w:p>
            <w:pPr>
              <w:jc w:val="center"/>
              <w:spacing w:after="0"/>
              <w:rPr>
                <w:sz w:val="20"/>
                <w:szCs w:val="20"/>
                <w:color w:val="auto"/>
              </w:rPr>
            </w:pPr>
            <w:r>
              <w:rPr>
                <w:rFonts w:ascii="Arial" w:cs="Arial" w:eastAsia="Arial" w:hAnsi="Arial"/>
                <w:sz w:val="22"/>
                <w:szCs w:val="22"/>
                <w:b w:val="1"/>
                <w:bCs w:val="1"/>
                <w:color w:val="auto"/>
                <w:w w:val="96"/>
              </w:rPr>
              <w:t>Maximum</w:t>
            </w:r>
          </w:p>
        </w:tc>
        <w:tc>
          <w:tcPr>
            <w:tcW w:w="20" w:type="dxa"/>
            <w:vAlign w:val="bottom"/>
          </w:tcPr>
          <w:p>
            <w:pPr>
              <w:spacing w:after="0"/>
              <w:rPr>
                <w:sz w:val="24"/>
                <w:szCs w:val="24"/>
                <w:color w:val="auto"/>
              </w:rPr>
            </w:pPr>
          </w:p>
        </w:tc>
        <w:tc>
          <w:tcPr>
            <w:tcW w:w="10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shd w:val="clear" w:color="auto" w:fill="9ADAF6"/>
          </w:tcPr>
          <w:p>
            <w:pPr>
              <w:jc w:val="center"/>
              <w:spacing w:after="0"/>
              <w:rPr>
                <w:sz w:val="20"/>
                <w:szCs w:val="20"/>
                <w:color w:val="auto"/>
              </w:rPr>
            </w:pPr>
            <w:r>
              <w:rPr>
                <w:rFonts w:ascii="Arial" w:cs="Arial" w:eastAsia="Arial" w:hAnsi="Arial"/>
                <w:sz w:val="22"/>
                <w:szCs w:val="22"/>
                <w:b w:val="1"/>
                <w:bCs w:val="1"/>
                <w:color w:val="auto"/>
                <w:w w:val="98"/>
              </w:rPr>
              <w:t>Amount of</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 w:type="dxa"/>
            <w:vAlign w:val="bottom"/>
            <w:tcBorders>
              <w:left w:val="single" w:sz="8" w:color="auto"/>
            </w:tcBorders>
          </w:tcPr>
          <w:p>
            <w:pPr>
              <w:spacing w:after="0"/>
              <w:rPr>
                <w:sz w:val="21"/>
                <w:szCs w:val="21"/>
                <w:color w:val="auto"/>
              </w:rPr>
            </w:pPr>
          </w:p>
        </w:tc>
        <w:tc>
          <w:tcPr>
            <w:tcW w:w="160" w:type="dxa"/>
            <w:vAlign w:val="bottom"/>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3"/>
              </w:rPr>
              <w:t>Type</w:t>
            </w:r>
          </w:p>
        </w:tc>
        <w:tc>
          <w:tcPr>
            <w:tcW w:w="40" w:type="dxa"/>
            <w:vAlign w:val="bottom"/>
          </w:tcPr>
          <w:p>
            <w:pPr>
              <w:spacing w:after="0"/>
              <w:rPr>
                <w:sz w:val="21"/>
                <w:szCs w:val="21"/>
                <w:color w:val="auto"/>
              </w:rPr>
            </w:pPr>
          </w:p>
        </w:tc>
        <w:tc>
          <w:tcPr>
            <w:tcW w:w="940" w:type="dxa"/>
            <w:vAlign w:val="bottom"/>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8"/>
              </w:rPr>
              <w:t>Class</w:t>
            </w:r>
          </w:p>
        </w:tc>
        <w:tc>
          <w:tcPr>
            <w:tcW w:w="20" w:type="dxa"/>
            <w:vAlign w:val="bottom"/>
          </w:tcPr>
          <w:p>
            <w:pPr>
              <w:spacing w:after="0"/>
              <w:rPr>
                <w:sz w:val="21"/>
                <w:szCs w:val="21"/>
                <w:color w:val="auto"/>
              </w:rPr>
            </w:pPr>
          </w:p>
        </w:tc>
        <w:tc>
          <w:tcPr>
            <w:tcW w:w="1200" w:type="dxa"/>
            <w:vAlign w:val="bottom"/>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9"/>
              </w:rPr>
              <w:t>Calculation</w:t>
            </w:r>
          </w:p>
        </w:tc>
        <w:tc>
          <w:tcPr>
            <w:tcW w:w="40" w:type="dxa"/>
            <w:vAlign w:val="bottom"/>
          </w:tcPr>
          <w:p>
            <w:pPr>
              <w:spacing w:after="0"/>
              <w:rPr>
                <w:sz w:val="21"/>
                <w:szCs w:val="21"/>
                <w:color w:val="auto"/>
              </w:rPr>
            </w:pPr>
          </w:p>
        </w:tc>
        <w:tc>
          <w:tcPr>
            <w:tcW w:w="1140" w:type="dxa"/>
            <w:vAlign w:val="bottom"/>
            <w:shd w:val="clear" w:color="auto" w:fill="9ADAF6"/>
          </w:tcPr>
          <w:p>
            <w:pPr>
              <w:jc w:val="right"/>
              <w:spacing w:after="0" w:line="243" w:lineRule="exact"/>
              <w:rPr>
                <w:sz w:val="20"/>
                <w:szCs w:val="20"/>
                <w:color w:val="auto"/>
              </w:rPr>
            </w:pPr>
            <w:r>
              <w:rPr>
                <w:rFonts w:ascii="Arial" w:cs="Arial" w:eastAsia="Arial" w:hAnsi="Arial"/>
                <w:sz w:val="22"/>
                <w:szCs w:val="22"/>
                <w:b w:val="1"/>
                <w:bCs w:val="1"/>
                <w:color w:val="auto"/>
                <w:w w:val="96"/>
              </w:rPr>
              <w:t>Registered</w:t>
            </w:r>
          </w:p>
        </w:tc>
        <w:tc>
          <w:tcPr>
            <w:tcW w:w="40" w:type="dxa"/>
            <w:vAlign w:val="bottom"/>
          </w:tcPr>
          <w:p>
            <w:pPr>
              <w:spacing w:after="0"/>
              <w:rPr>
                <w:sz w:val="21"/>
                <w:szCs w:val="21"/>
                <w:color w:val="auto"/>
              </w:rPr>
            </w:pPr>
          </w:p>
        </w:tc>
        <w:tc>
          <w:tcPr>
            <w:tcW w:w="1300" w:type="dxa"/>
            <w:vAlign w:val="bottom"/>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8"/>
              </w:rPr>
              <w:t>Offering</w:t>
            </w:r>
          </w:p>
        </w:tc>
        <w:tc>
          <w:tcPr>
            <w:tcW w:w="20" w:type="dxa"/>
            <w:vAlign w:val="bottom"/>
          </w:tcPr>
          <w:p>
            <w:pPr>
              <w:spacing w:after="0"/>
              <w:rPr>
                <w:sz w:val="21"/>
                <w:szCs w:val="21"/>
                <w:color w:val="auto"/>
              </w:rPr>
            </w:pPr>
          </w:p>
        </w:tc>
        <w:tc>
          <w:tcPr>
            <w:tcW w:w="1580" w:type="dxa"/>
            <w:vAlign w:val="bottom"/>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7"/>
              </w:rPr>
              <w:t>Aggregate</w:t>
            </w:r>
          </w:p>
        </w:tc>
        <w:tc>
          <w:tcPr>
            <w:tcW w:w="20" w:type="dxa"/>
            <w:vAlign w:val="bottom"/>
          </w:tcPr>
          <w:p>
            <w:pPr>
              <w:spacing w:after="0"/>
              <w:rPr>
                <w:sz w:val="21"/>
                <w:szCs w:val="21"/>
                <w:color w:val="auto"/>
              </w:rPr>
            </w:pPr>
          </w:p>
        </w:tc>
        <w:tc>
          <w:tcPr>
            <w:tcW w:w="1060" w:type="dxa"/>
            <w:vAlign w:val="bottom"/>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8"/>
              </w:rPr>
              <w:t>Fee Rate</w:t>
            </w:r>
          </w:p>
        </w:tc>
        <w:tc>
          <w:tcPr>
            <w:tcW w:w="20" w:type="dxa"/>
            <w:vAlign w:val="bottom"/>
          </w:tcPr>
          <w:p>
            <w:pPr>
              <w:spacing w:after="0"/>
              <w:rPr>
                <w:sz w:val="21"/>
                <w:szCs w:val="21"/>
                <w:color w:val="auto"/>
              </w:rPr>
            </w:pPr>
          </w:p>
        </w:tc>
        <w:tc>
          <w:tcPr>
            <w:tcW w:w="1480" w:type="dxa"/>
            <w:vAlign w:val="bottom"/>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8"/>
              </w:rPr>
              <w:t>Registration</w:t>
            </w: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47"/>
        </w:trPr>
        <w:tc>
          <w:tcPr>
            <w:tcW w:w="40" w:type="dxa"/>
            <w:vAlign w:val="bottom"/>
            <w:tcBorders>
              <w:left w:val="single" w:sz="8" w:color="auto"/>
            </w:tcBorders>
          </w:tcPr>
          <w:p>
            <w:pPr>
              <w:spacing w:after="0"/>
              <w:rPr>
                <w:sz w:val="12"/>
                <w:szCs w:val="12"/>
                <w:color w:val="auto"/>
              </w:rPr>
            </w:pPr>
          </w:p>
        </w:tc>
        <w:tc>
          <w:tcPr>
            <w:tcW w:w="16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shd w:val="clear" w:color="auto" w:fill="9ADAF6"/>
          </w:tcPr>
          <w:p>
            <w:pPr>
              <w:jc w:val="center"/>
              <w:spacing w:after="0" w:line="147" w:lineRule="exact"/>
              <w:rPr>
                <w:sz w:val="20"/>
                <w:szCs w:val="20"/>
                <w:color w:val="auto"/>
              </w:rPr>
            </w:pPr>
            <w:r>
              <w:rPr>
                <w:rFonts w:ascii="Arial" w:cs="Arial" w:eastAsia="Arial" w:hAnsi="Arial"/>
                <w:sz w:val="17"/>
                <w:szCs w:val="17"/>
                <w:b w:val="1"/>
                <w:bCs w:val="1"/>
                <w:color w:val="auto"/>
              </w:rPr>
              <w:t>Title</w:t>
            </w:r>
          </w:p>
        </w:tc>
        <w:tc>
          <w:tcPr>
            <w:tcW w:w="20" w:type="dxa"/>
            <w:vAlign w:val="bottom"/>
          </w:tcPr>
          <w:p>
            <w:pPr>
              <w:spacing w:after="0"/>
              <w:rPr>
                <w:sz w:val="12"/>
                <w:szCs w:val="12"/>
                <w:color w:val="auto"/>
              </w:rPr>
            </w:pPr>
          </w:p>
        </w:tc>
        <w:tc>
          <w:tcPr>
            <w:tcW w:w="1200" w:type="dxa"/>
            <w:vAlign w:val="bottom"/>
            <w:shd w:val="clear" w:color="auto" w:fill="9ADAF6"/>
          </w:tcPr>
          <w:p>
            <w:pPr>
              <w:jc w:val="center"/>
              <w:spacing w:after="0" w:line="147" w:lineRule="exact"/>
              <w:rPr>
                <w:sz w:val="20"/>
                <w:szCs w:val="20"/>
                <w:color w:val="auto"/>
              </w:rPr>
            </w:pPr>
            <w:r>
              <w:rPr>
                <w:rFonts w:ascii="Arial" w:cs="Arial" w:eastAsia="Arial" w:hAnsi="Arial"/>
                <w:sz w:val="17"/>
                <w:szCs w:val="17"/>
                <w:b w:val="1"/>
                <w:bCs w:val="1"/>
                <w:color w:val="auto"/>
              </w:rPr>
              <w:t>Rule</w:t>
            </w:r>
          </w:p>
        </w:tc>
        <w:tc>
          <w:tcPr>
            <w:tcW w:w="40" w:type="dxa"/>
            <w:vAlign w:val="bottom"/>
          </w:tcPr>
          <w:p>
            <w:pPr>
              <w:spacing w:after="0"/>
              <w:rPr>
                <w:sz w:val="12"/>
                <w:szCs w:val="12"/>
                <w:color w:val="auto"/>
              </w:rPr>
            </w:pPr>
          </w:p>
        </w:tc>
        <w:tc>
          <w:tcPr>
            <w:tcW w:w="1140" w:type="dxa"/>
            <w:vAlign w:val="bottom"/>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300" w:type="dxa"/>
            <w:vAlign w:val="bottom"/>
            <w:shd w:val="clear" w:color="auto" w:fill="9ADAF6"/>
          </w:tcPr>
          <w:p>
            <w:pPr>
              <w:jc w:val="center"/>
              <w:spacing w:after="0" w:line="147" w:lineRule="exact"/>
              <w:rPr>
                <w:sz w:val="20"/>
                <w:szCs w:val="20"/>
                <w:color w:val="auto"/>
              </w:rPr>
            </w:pPr>
            <w:r>
              <w:rPr>
                <w:rFonts w:ascii="Arial" w:cs="Arial" w:eastAsia="Arial" w:hAnsi="Arial"/>
                <w:sz w:val="17"/>
                <w:szCs w:val="17"/>
                <w:b w:val="1"/>
                <w:bCs w:val="1"/>
                <w:color w:val="auto"/>
              </w:rPr>
              <w:t>Price Per</w:t>
            </w:r>
          </w:p>
        </w:tc>
        <w:tc>
          <w:tcPr>
            <w:tcW w:w="20" w:type="dxa"/>
            <w:vAlign w:val="bottom"/>
          </w:tcPr>
          <w:p>
            <w:pPr>
              <w:spacing w:after="0"/>
              <w:rPr>
                <w:sz w:val="12"/>
                <w:szCs w:val="12"/>
                <w:color w:val="auto"/>
              </w:rPr>
            </w:pPr>
          </w:p>
        </w:tc>
        <w:tc>
          <w:tcPr>
            <w:tcW w:w="1580" w:type="dxa"/>
            <w:vAlign w:val="bottom"/>
            <w:shd w:val="clear" w:color="auto" w:fill="9ADAF6"/>
          </w:tcPr>
          <w:p>
            <w:pPr>
              <w:jc w:val="center"/>
              <w:spacing w:after="0" w:line="147" w:lineRule="exact"/>
              <w:rPr>
                <w:sz w:val="20"/>
                <w:szCs w:val="20"/>
                <w:color w:val="auto"/>
              </w:rPr>
            </w:pPr>
            <w:r>
              <w:rPr>
                <w:rFonts w:ascii="Arial" w:cs="Arial" w:eastAsia="Arial" w:hAnsi="Arial"/>
                <w:sz w:val="17"/>
                <w:szCs w:val="17"/>
                <w:b w:val="1"/>
                <w:bCs w:val="1"/>
                <w:color w:val="auto"/>
              </w:rPr>
              <w:t>Offering Price</w:t>
            </w:r>
          </w:p>
        </w:tc>
        <w:tc>
          <w:tcPr>
            <w:tcW w:w="20" w:type="dxa"/>
            <w:vAlign w:val="bottom"/>
          </w:tcPr>
          <w:p>
            <w:pPr>
              <w:spacing w:after="0"/>
              <w:rPr>
                <w:sz w:val="12"/>
                <w:szCs w:val="12"/>
                <w:color w:val="auto"/>
              </w:rPr>
            </w:pPr>
          </w:p>
        </w:tc>
        <w:tc>
          <w:tcPr>
            <w:tcW w:w="106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480" w:type="dxa"/>
            <w:vAlign w:val="bottom"/>
            <w:shd w:val="clear" w:color="auto" w:fill="9ADAF6"/>
          </w:tcPr>
          <w:p>
            <w:pPr>
              <w:jc w:val="center"/>
              <w:spacing w:after="0" w:line="147" w:lineRule="exact"/>
              <w:rPr>
                <w:sz w:val="20"/>
                <w:szCs w:val="20"/>
                <w:color w:val="auto"/>
              </w:rPr>
            </w:pPr>
            <w:r>
              <w:rPr>
                <w:rFonts w:ascii="Arial" w:cs="Arial" w:eastAsia="Arial" w:hAnsi="Arial"/>
                <w:sz w:val="17"/>
                <w:szCs w:val="17"/>
                <w:b w:val="1"/>
                <w:bCs w:val="1"/>
                <w:color w:val="auto"/>
              </w:rPr>
              <w:t>Fee</w:t>
            </w: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85"/>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300" w:type="dxa"/>
            <w:vAlign w:val="bottom"/>
            <w:shd w:val="clear" w:color="auto" w:fill="9ADAF6"/>
          </w:tcPr>
          <w:p>
            <w:pPr>
              <w:jc w:val="center"/>
              <w:spacing w:after="0"/>
              <w:rPr>
                <w:sz w:val="20"/>
                <w:szCs w:val="20"/>
                <w:color w:val="auto"/>
              </w:rPr>
            </w:pPr>
            <w:r>
              <w:rPr>
                <w:rFonts w:ascii="Arial" w:cs="Arial" w:eastAsia="Arial" w:hAnsi="Arial"/>
                <w:sz w:val="22"/>
                <w:szCs w:val="22"/>
                <w:b w:val="1"/>
                <w:bCs w:val="1"/>
                <w:color w:val="auto"/>
                <w:w w:val="98"/>
              </w:rPr>
              <w:t>Unit</w:t>
            </w:r>
          </w:p>
        </w:tc>
        <w:tc>
          <w:tcPr>
            <w:tcW w:w="20" w:type="dxa"/>
            <w:vAlign w:val="bottom"/>
          </w:tcPr>
          <w:p>
            <w:pPr>
              <w:spacing w:after="0"/>
              <w:rPr>
                <w:sz w:val="24"/>
                <w:szCs w:val="24"/>
                <w:color w:val="auto"/>
              </w:rPr>
            </w:pPr>
          </w:p>
        </w:tc>
        <w:tc>
          <w:tcPr>
            <w:tcW w:w="15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shd w:val="clear" w:color="auto" w:fill="9ADAF6"/>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Borders>
              <w:lef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shd w:val="clear" w:color="auto" w:fill="E7E7E2"/>
          </w:tcPr>
          <w:p>
            <w:pPr>
              <w:jc w:val="center"/>
              <w:spacing w:after="0" w:line="230" w:lineRule="exact"/>
              <w:rPr>
                <w:sz w:val="20"/>
                <w:szCs w:val="20"/>
                <w:color w:val="auto"/>
              </w:rPr>
            </w:pPr>
            <w:r>
              <w:rPr>
                <w:rFonts w:ascii="Arial" w:cs="Arial" w:eastAsia="Arial" w:hAnsi="Arial"/>
                <w:sz w:val="22"/>
                <w:szCs w:val="22"/>
                <w:color w:val="auto"/>
                <w:w w:val="96"/>
              </w:rPr>
              <w:t>Common</w:t>
            </w:r>
          </w:p>
        </w:tc>
        <w:tc>
          <w:tcPr>
            <w:tcW w:w="20" w:type="dxa"/>
            <w:vAlign w:val="bottom"/>
          </w:tcPr>
          <w:p>
            <w:pPr>
              <w:spacing w:after="0"/>
              <w:rPr>
                <w:sz w:val="20"/>
                <w:szCs w:val="20"/>
                <w:color w:val="auto"/>
              </w:rPr>
            </w:pPr>
          </w:p>
        </w:tc>
        <w:tc>
          <w:tcPr>
            <w:tcW w:w="120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3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8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Borders>
              <w:left w:val="single" w:sz="8" w:color="auto"/>
            </w:tcBorders>
          </w:tcPr>
          <w:p>
            <w:pPr>
              <w:spacing w:after="0"/>
              <w:rPr>
                <w:sz w:val="21"/>
                <w:szCs w:val="21"/>
                <w:color w:val="auto"/>
              </w:rPr>
            </w:pPr>
          </w:p>
        </w:tc>
        <w:tc>
          <w:tcPr>
            <w:tcW w:w="16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shd w:val="clear" w:color="auto" w:fill="E7E7E2"/>
          </w:tcPr>
          <w:p>
            <w:pPr>
              <w:spacing w:after="0"/>
              <w:rPr>
                <w:sz w:val="21"/>
                <w:szCs w:val="21"/>
                <w:color w:val="auto"/>
              </w:rPr>
            </w:pPr>
          </w:p>
        </w:tc>
        <w:tc>
          <w:tcPr>
            <w:tcW w:w="40" w:type="dxa"/>
            <w:vAlign w:val="bottom"/>
          </w:tcPr>
          <w:p>
            <w:pPr>
              <w:spacing w:after="0"/>
              <w:rPr>
                <w:sz w:val="21"/>
                <w:szCs w:val="21"/>
                <w:color w:val="auto"/>
              </w:rPr>
            </w:pPr>
          </w:p>
        </w:tc>
        <w:tc>
          <w:tcPr>
            <w:tcW w:w="940" w:type="dxa"/>
            <w:vAlign w:val="bottom"/>
            <w:shd w:val="clear" w:color="auto" w:fill="E7E7E2"/>
          </w:tcPr>
          <w:p>
            <w:pPr>
              <w:ind w:left="20"/>
              <w:spacing w:after="0" w:line="243" w:lineRule="exact"/>
              <w:rPr>
                <w:sz w:val="20"/>
                <w:szCs w:val="20"/>
                <w:color w:val="auto"/>
              </w:rPr>
            </w:pPr>
            <w:r>
              <w:rPr>
                <w:rFonts w:ascii="Arial" w:cs="Arial" w:eastAsia="Arial" w:hAnsi="Arial"/>
                <w:sz w:val="22"/>
                <w:szCs w:val="22"/>
                <w:color w:val="auto"/>
              </w:rPr>
              <w:t>Stock,</w:t>
            </w:r>
          </w:p>
        </w:tc>
        <w:tc>
          <w:tcPr>
            <w:tcW w:w="20" w:type="dxa"/>
            <w:vAlign w:val="bottom"/>
          </w:tcPr>
          <w:p>
            <w:pPr>
              <w:spacing w:after="0"/>
              <w:rPr>
                <w:sz w:val="21"/>
                <w:szCs w:val="21"/>
                <w:color w:val="auto"/>
              </w:rPr>
            </w:pPr>
          </w:p>
        </w:tc>
        <w:tc>
          <w:tcPr>
            <w:tcW w:w="1200" w:type="dxa"/>
            <w:vAlign w:val="bottom"/>
            <w:shd w:val="clear" w:color="auto" w:fill="E7E7E2"/>
          </w:tcPr>
          <w:p>
            <w:pPr>
              <w:spacing w:after="0"/>
              <w:rPr>
                <w:sz w:val="21"/>
                <w:szCs w:val="21"/>
                <w:color w:val="auto"/>
              </w:rPr>
            </w:pPr>
          </w:p>
        </w:tc>
        <w:tc>
          <w:tcPr>
            <w:tcW w:w="40" w:type="dxa"/>
            <w:vAlign w:val="bottom"/>
          </w:tcPr>
          <w:p>
            <w:pPr>
              <w:spacing w:after="0"/>
              <w:rPr>
                <w:sz w:val="21"/>
                <w:szCs w:val="21"/>
                <w:color w:val="auto"/>
              </w:rPr>
            </w:pPr>
          </w:p>
        </w:tc>
        <w:tc>
          <w:tcPr>
            <w:tcW w:w="1140" w:type="dxa"/>
            <w:vAlign w:val="bottom"/>
            <w:shd w:val="clear" w:color="auto" w:fill="E7E7E2"/>
          </w:tcPr>
          <w:p>
            <w:pPr>
              <w:spacing w:after="0"/>
              <w:rPr>
                <w:sz w:val="21"/>
                <w:szCs w:val="21"/>
                <w:color w:val="auto"/>
              </w:rPr>
            </w:pPr>
          </w:p>
        </w:tc>
        <w:tc>
          <w:tcPr>
            <w:tcW w:w="40" w:type="dxa"/>
            <w:vAlign w:val="bottom"/>
          </w:tcPr>
          <w:p>
            <w:pPr>
              <w:spacing w:after="0"/>
              <w:rPr>
                <w:sz w:val="21"/>
                <w:szCs w:val="21"/>
                <w:color w:val="auto"/>
              </w:rPr>
            </w:pPr>
          </w:p>
        </w:tc>
        <w:tc>
          <w:tcPr>
            <w:tcW w:w="130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1580" w:type="dxa"/>
            <w:vAlign w:val="bottom"/>
            <w:vMerge w:val="restart"/>
            <w:shd w:val="clear" w:color="auto" w:fill="E7E7E2"/>
          </w:tcPr>
          <w:p>
            <w:pPr>
              <w:jc w:val="right"/>
              <w:spacing w:after="0"/>
              <w:rPr>
                <w:sz w:val="20"/>
                <w:szCs w:val="20"/>
                <w:color w:val="auto"/>
              </w:rPr>
            </w:pPr>
            <w:r>
              <w:rPr>
                <w:rFonts w:ascii="Arial" w:cs="Arial" w:eastAsia="Arial" w:hAnsi="Arial"/>
                <w:sz w:val="22"/>
                <w:szCs w:val="22"/>
                <w:color w:val="auto"/>
              </w:rPr>
              <w:t>$</w:t>
            </w:r>
          </w:p>
        </w:tc>
        <w:tc>
          <w:tcPr>
            <w:tcW w:w="20" w:type="dxa"/>
            <w:vAlign w:val="bottom"/>
          </w:tcPr>
          <w:p>
            <w:pPr>
              <w:spacing w:after="0"/>
              <w:rPr>
                <w:sz w:val="21"/>
                <w:szCs w:val="21"/>
                <w:color w:val="auto"/>
              </w:rPr>
            </w:pPr>
          </w:p>
        </w:tc>
        <w:tc>
          <w:tcPr>
            <w:tcW w:w="106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1480" w:type="dxa"/>
            <w:vAlign w:val="bottom"/>
            <w:shd w:val="clear" w:color="auto" w:fill="E7E7E2"/>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40" w:type="dxa"/>
            <w:vAlign w:val="bottom"/>
            <w:tcBorders>
              <w:left w:val="single" w:sz="8" w:color="auto"/>
            </w:tcBorders>
          </w:tcPr>
          <w:p>
            <w:pPr>
              <w:spacing w:after="0"/>
              <w:rPr>
                <w:sz w:val="18"/>
                <w:szCs w:val="18"/>
                <w:color w:val="auto"/>
              </w:rPr>
            </w:pPr>
          </w:p>
        </w:tc>
        <w:tc>
          <w:tcPr>
            <w:tcW w:w="160" w:type="dxa"/>
            <w:vAlign w:val="bottom"/>
            <w:shd w:val="clear" w:color="auto" w:fill="E7E7E2"/>
          </w:tcPr>
          <w:p>
            <w:pPr>
              <w:jc w:val="right"/>
              <w:spacing w:after="0" w:line="216" w:lineRule="exact"/>
              <w:rPr>
                <w:sz w:val="20"/>
                <w:szCs w:val="20"/>
                <w:color w:val="auto"/>
              </w:rPr>
            </w:pPr>
            <w:r>
              <w:rPr>
                <w:rFonts w:ascii="Arial" w:cs="Arial" w:eastAsia="Arial" w:hAnsi="Arial"/>
                <w:sz w:val="22"/>
                <w:szCs w:val="22"/>
                <w:color w:val="auto"/>
                <w:w w:val="97"/>
              </w:rPr>
              <w:t>1</w:t>
            </w:r>
          </w:p>
        </w:tc>
        <w:tc>
          <w:tcPr>
            <w:tcW w:w="20" w:type="dxa"/>
            <w:vAlign w:val="bottom"/>
          </w:tcPr>
          <w:p>
            <w:pPr>
              <w:spacing w:after="0"/>
              <w:rPr>
                <w:sz w:val="18"/>
                <w:szCs w:val="18"/>
                <w:color w:val="auto"/>
              </w:rPr>
            </w:pPr>
          </w:p>
        </w:tc>
        <w:tc>
          <w:tcPr>
            <w:tcW w:w="940" w:type="dxa"/>
            <w:vAlign w:val="bottom"/>
            <w:shd w:val="clear" w:color="auto" w:fill="E7E7E2"/>
          </w:tcPr>
          <w:p>
            <w:pPr>
              <w:ind w:left="20"/>
              <w:spacing w:after="0" w:line="216" w:lineRule="exact"/>
              <w:rPr>
                <w:sz w:val="20"/>
                <w:szCs w:val="20"/>
                <w:color w:val="auto"/>
              </w:rPr>
            </w:pPr>
            <w:r>
              <w:rPr>
                <w:rFonts w:ascii="Arial" w:cs="Arial" w:eastAsia="Arial" w:hAnsi="Arial"/>
                <w:sz w:val="22"/>
                <w:szCs w:val="22"/>
                <w:color w:val="auto"/>
              </w:rPr>
              <w:t>Equity</w:t>
            </w:r>
          </w:p>
        </w:tc>
        <w:tc>
          <w:tcPr>
            <w:tcW w:w="40" w:type="dxa"/>
            <w:vAlign w:val="bottom"/>
          </w:tcPr>
          <w:p>
            <w:pPr>
              <w:spacing w:after="0"/>
              <w:rPr>
                <w:sz w:val="18"/>
                <w:szCs w:val="18"/>
                <w:color w:val="auto"/>
              </w:rPr>
            </w:pPr>
          </w:p>
        </w:tc>
        <w:tc>
          <w:tcPr>
            <w:tcW w:w="940" w:type="dxa"/>
            <w:vAlign w:val="bottom"/>
            <w:shd w:val="clear" w:color="auto" w:fill="E7E7E2"/>
          </w:tcPr>
          <w:p>
            <w:pPr>
              <w:jc w:val="center"/>
              <w:spacing w:after="0" w:line="216" w:lineRule="exact"/>
              <w:rPr>
                <w:sz w:val="20"/>
                <w:szCs w:val="20"/>
                <w:color w:val="auto"/>
              </w:rPr>
            </w:pPr>
            <w:r>
              <w:rPr>
                <w:rFonts w:ascii="Arial" w:cs="Arial" w:eastAsia="Arial" w:hAnsi="Arial"/>
                <w:sz w:val="22"/>
                <w:szCs w:val="22"/>
                <w:color w:val="auto"/>
                <w:w w:val="97"/>
              </w:rPr>
              <w:t>par value</w:t>
            </w:r>
          </w:p>
        </w:tc>
        <w:tc>
          <w:tcPr>
            <w:tcW w:w="20" w:type="dxa"/>
            <w:vAlign w:val="bottom"/>
          </w:tcPr>
          <w:p>
            <w:pPr>
              <w:spacing w:after="0"/>
              <w:rPr>
                <w:sz w:val="18"/>
                <w:szCs w:val="18"/>
                <w:color w:val="auto"/>
              </w:rPr>
            </w:pPr>
          </w:p>
        </w:tc>
        <w:tc>
          <w:tcPr>
            <w:tcW w:w="1200" w:type="dxa"/>
            <w:vAlign w:val="bottom"/>
            <w:shd w:val="clear" w:color="auto" w:fill="E7E7E2"/>
          </w:tcPr>
          <w:p>
            <w:pPr>
              <w:jc w:val="center"/>
              <w:spacing w:after="0" w:line="216" w:lineRule="exact"/>
              <w:rPr>
                <w:sz w:val="20"/>
                <w:szCs w:val="20"/>
                <w:color w:val="auto"/>
              </w:rPr>
            </w:pPr>
            <w:r>
              <w:rPr>
                <w:rFonts w:ascii="Arial" w:cs="Arial" w:eastAsia="Arial" w:hAnsi="Arial"/>
                <w:sz w:val="22"/>
                <w:szCs w:val="22"/>
                <w:color w:val="auto"/>
                <w:w w:val="98"/>
              </w:rPr>
              <w:t>Other</w:t>
            </w:r>
          </w:p>
        </w:tc>
        <w:tc>
          <w:tcPr>
            <w:tcW w:w="40" w:type="dxa"/>
            <w:vAlign w:val="bottom"/>
          </w:tcPr>
          <w:p>
            <w:pPr>
              <w:spacing w:after="0"/>
              <w:rPr>
                <w:sz w:val="18"/>
                <w:szCs w:val="18"/>
                <w:color w:val="auto"/>
              </w:rPr>
            </w:pPr>
          </w:p>
        </w:tc>
        <w:tc>
          <w:tcPr>
            <w:tcW w:w="1140" w:type="dxa"/>
            <w:vAlign w:val="bottom"/>
            <w:shd w:val="clear" w:color="auto" w:fill="E7E7E2"/>
          </w:tcPr>
          <w:p>
            <w:pPr>
              <w:jc w:val="right"/>
              <w:spacing w:after="0" w:line="216" w:lineRule="exact"/>
              <w:rPr>
                <w:sz w:val="20"/>
                <w:szCs w:val="20"/>
                <w:color w:val="auto"/>
              </w:rPr>
            </w:pPr>
            <w:r>
              <w:rPr>
                <w:rFonts w:ascii="Arial" w:cs="Arial" w:eastAsia="Arial" w:hAnsi="Arial"/>
                <w:sz w:val="22"/>
                <w:szCs w:val="22"/>
                <w:color w:val="auto"/>
              </w:rPr>
              <w:t>3,770,249</w:t>
            </w:r>
          </w:p>
        </w:tc>
        <w:tc>
          <w:tcPr>
            <w:tcW w:w="40" w:type="dxa"/>
            <w:vAlign w:val="bottom"/>
          </w:tcPr>
          <w:p>
            <w:pPr>
              <w:spacing w:after="0"/>
              <w:rPr>
                <w:sz w:val="18"/>
                <w:szCs w:val="18"/>
                <w:color w:val="auto"/>
              </w:rPr>
            </w:pPr>
          </w:p>
        </w:tc>
        <w:tc>
          <w:tcPr>
            <w:tcW w:w="1300" w:type="dxa"/>
            <w:vAlign w:val="bottom"/>
            <w:shd w:val="clear" w:color="auto" w:fill="E7E7E2"/>
          </w:tcPr>
          <w:p>
            <w:pPr>
              <w:jc w:val="right"/>
              <w:spacing w:after="0" w:line="216" w:lineRule="exact"/>
              <w:rPr>
                <w:sz w:val="20"/>
                <w:szCs w:val="20"/>
                <w:color w:val="auto"/>
              </w:rPr>
            </w:pPr>
            <w:r>
              <w:rPr>
                <w:rFonts w:ascii="Arial" w:cs="Arial" w:eastAsia="Arial" w:hAnsi="Arial"/>
                <w:sz w:val="22"/>
                <w:szCs w:val="22"/>
                <w:color w:val="auto"/>
              </w:rPr>
              <w:t>$ 46.24</w:t>
            </w:r>
          </w:p>
        </w:tc>
        <w:tc>
          <w:tcPr>
            <w:tcW w:w="20" w:type="dxa"/>
            <w:vAlign w:val="bottom"/>
          </w:tcPr>
          <w:p>
            <w:pPr>
              <w:spacing w:after="0"/>
              <w:rPr>
                <w:sz w:val="18"/>
                <w:szCs w:val="18"/>
                <w:color w:val="auto"/>
              </w:rPr>
            </w:pPr>
          </w:p>
        </w:tc>
        <w:tc>
          <w:tcPr>
            <w:tcW w:w="158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shd w:val="clear" w:color="auto" w:fill="E7E7E2"/>
          </w:tcPr>
          <w:p>
            <w:pPr>
              <w:jc w:val="right"/>
              <w:spacing w:after="0" w:line="216" w:lineRule="exact"/>
              <w:rPr>
                <w:sz w:val="20"/>
                <w:szCs w:val="20"/>
                <w:color w:val="auto"/>
              </w:rPr>
            </w:pPr>
            <w:r>
              <w:rPr>
                <w:rFonts w:ascii="Arial" w:cs="Arial" w:eastAsia="Arial" w:hAnsi="Arial"/>
                <w:sz w:val="22"/>
                <w:szCs w:val="22"/>
                <w:color w:val="auto"/>
                <w:w w:val="98"/>
              </w:rPr>
              <w:t>0.0001531</w:t>
            </w:r>
          </w:p>
        </w:tc>
        <w:tc>
          <w:tcPr>
            <w:tcW w:w="20" w:type="dxa"/>
            <w:vAlign w:val="bottom"/>
          </w:tcPr>
          <w:p>
            <w:pPr>
              <w:spacing w:after="0"/>
              <w:rPr>
                <w:sz w:val="18"/>
                <w:szCs w:val="18"/>
                <w:color w:val="auto"/>
              </w:rPr>
            </w:pPr>
          </w:p>
        </w:tc>
        <w:tc>
          <w:tcPr>
            <w:tcW w:w="1480" w:type="dxa"/>
            <w:vAlign w:val="bottom"/>
            <w:shd w:val="clear" w:color="auto" w:fill="E7E7E2"/>
          </w:tcPr>
          <w:p>
            <w:pPr>
              <w:jc w:val="right"/>
              <w:spacing w:after="0" w:line="216" w:lineRule="exact"/>
              <w:rPr>
                <w:sz w:val="20"/>
                <w:szCs w:val="20"/>
                <w:color w:val="auto"/>
              </w:rPr>
            </w:pPr>
            <w:r>
              <w:rPr>
                <w:rFonts w:ascii="Arial" w:cs="Arial" w:eastAsia="Arial" w:hAnsi="Arial"/>
                <w:sz w:val="22"/>
                <w:szCs w:val="22"/>
                <w:color w:val="auto"/>
              </w:rPr>
              <w:t>$ 26,690.89</w:t>
            </w: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0" w:type="dxa"/>
            <w:vAlign w:val="bottom"/>
            <w:tcBorders>
              <w:left w:val="single" w:sz="8" w:color="auto"/>
            </w:tcBorders>
          </w:tcPr>
          <w:p>
            <w:pPr>
              <w:spacing w:after="0"/>
              <w:rPr>
                <w:sz w:val="21"/>
                <w:szCs w:val="21"/>
                <w:color w:val="auto"/>
              </w:rPr>
            </w:pPr>
          </w:p>
        </w:tc>
        <w:tc>
          <w:tcPr>
            <w:tcW w:w="16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shd w:val="clear" w:color="auto" w:fill="E7E7E2"/>
          </w:tcPr>
          <w:p>
            <w:pPr>
              <w:spacing w:after="0"/>
              <w:rPr>
                <w:sz w:val="21"/>
                <w:szCs w:val="21"/>
                <w:color w:val="auto"/>
              </w:rPr>
            </w:pPr>
          </w:p>
        </w:tc>
        <w:tc>
          <w:tcPr>
            <w:tcW w:w="40" w:type="dxa"/>
            <w:vAlign w:val="bottom"/>
          </w:tcPr>
          <w:p>
            <w:pPr>
              <w:spacing w:after="0"/>
              <w:rPr>
                <w:sz w:val="21"/>
                <w:szCs w:val="21"/>
                <w:color w:val="auto"/>
              </w:rPr>
            </w:pPr>
          </w:p>
        </w:tc>
        <w:tc>
          <w:tcPr>
            <w:tcW w:w="940" w:type="dxa"/>
            <w:vAlign w:val="bottom"/>
            <w:vMerge w:val="restart"/>
            <w:shd w:val="clear" w:color="auto" w:fill="E7E7E2"/>
          </w:tcPr>
          <w:p>
            <w:pPr>
              <w:ind w:left="20"/>
              <w:spacing w:after="0"/>
              <w:rPr>
                <w:sz w:val="20"/>
                <w:szCs w:val="20"/>
                <w:color w:val="auto"/>
              </w:rPr>
            </w:pPr>
            <w:r>
              <w:rPr>
                <w:rFonts w:ascii="Arial" w:cs="Arial" w:eastAsia="Arial" w:hAnsi="Arial"/>
                <w:sz w:val="22"/>
                <w:szCs w:val="22"/>
                <w:color w:val="auto"/>
              </w:rPr>
              <w:t>$0.001</w:t>
            </w:r>
          </w:p>
        </w:tc>
        <w:tc>
          <w:tcPr>
            <w:tcW w:w="20" w:type="dxa"/>
            <w:vAlign w:val="bottom"/>
          </w:tcPr>
          <w:p>
            <w:pPr>
              <w:spacing w:after="0"/>
              <w:rPr>
                <w:sz w:val="21"/>
                <w:szCs w:val="21"/>
                <w:color w:val="auto"/>
              </w:rPr>
            </w:pPr>
          </w:p>
        </w:tc>
        <w:tc>
          <w:tcPr>
            <w:tcW w:w="1200" w:type="dxa"/>
            <w:vAlign w:val="bottom"/>
            <w:shd w:val="clear" w:color="auto" w:fill="E7E7E2"/>
          </w:tcPr>
          <w:p>
            <w:pPr>
              <w:spacing w:after="0"/>
              <w:rPr>
                <w:sz w:val="21"/>
                <w:szCs w:val="21"/>
                <w:color w:val="auto"/>
              </w:rPr>
            </w:pPr>
          </w:p>
        </w:tc>
        <w:tc>
          <w:tcPr>
            <w:tcW w:w="40" w:type="dxa"/>
            <w:vAlign w:val="bottom"/>
          </w:tcPr>
          <w:p>
            <w:pPr>
              <w:spacing w:after="0"/>
              <w:rPr>
                <w:sz w:val="21"/>
                <w:szCs w:val="21"/>
                <w:color w:val="auto"/>
              </w:rPr>
            </w:pPr>
          </w:p>
        </w:tc>
        <w:tc>
          <w:tcPr>
            <w:tcW w:w="1140" w:type="dxa"/>
            <w:vAlign w:val="bottom"/>
            <w:shd w:val="clear" w:color="auto" w:fill="E7E7E2"/>
          </w:tcPr>
          <w:p>
            <w:pPr>
              <w:spacing w:after="0"/>
              <w:rPr>
                <w:sz w:val="21"/>
                <w:szCs w:val="21"/>
                <w:color w:val="auto"/>
              </w:rPr>
            </w:pPr>
          </w:p>
        </w:tc>
        <w:tc>
          <w:tcPr>
            <w:tcW w:w="40" w:type="dxa"/>
            <w:vAlign w:val="bottom"/>
          </w:tcPr>
          <w:p>
            <w:pPr>
              <w:spacing w:after="0"/>
              <w:rPr>
                <w:sz w:val="21"/>
                <w:szCs w:val="21"/>
                <w:color w:val="auto"/>
              </w:rPr>
            </w:pPr>
          </w:p>
        </w:tc>
        <w:tc>
          <w:tcPr>
            <w:tcW w:w="130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1580" w:type="dxa"/>
            <w:vAlign w:val="bottom"/>
            <w:shd w:val="clear" w:color="auto" w:fill="E7E7E2"/>
          </w:tcPr>
          <w:p>
            <w:pPr>
              <w:jc w:val="right"/>
              <w:spacing w:after="0" w:line="243" w:lineRule="exact"/>
              <w:rPr>
                <w:sz w:val="20"/>
                <w:szCs w:val="20"/>
                <w:color w:val="auto"/>
              </w:rPr>
            </w:pPr>
            <w:r>
              <w:rPr>
                <w:rFonts w:ascii="Arial" w:cs="Arial" w:eastAsia="Arial" w:hAnsi="Arial"/>
                <w:sz w:val="22"/>
                <w:szCs w:val="22"/>
                <w:color w:val="auto"/>
              </w:rPr>
              <w:t>174,336,313.76</w:t>
            </w:r>
          </w:p>
        </w:tc>
        <w:tc>
          <w:tcPr>
            <w:tcW w:w="20" w:type="dxa"/>
            <w:vAlign w:val="bottom"/>
          </w:tcPr>
          <w:p>
            <w:pPr>
              <w:spacing w:after="0"/>
              <w:rPr>
                <w:sz w:val="21"/>
                <w:szCs w:val="21"/>
                <w:color w:val="auto"/>
              </w:rPr>
            </w:pPr>
          </w:p>
        </w:tc>
        <w:tc>
          <w:tcPr>
            <w:tcW w:w="106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1480" w:type="dxa"/>
            <w:vAlign w:val="bottom"/>
            <w:shd w:val="clear" w:color="auto" w:fill="E7E7E2"/>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8"/>
        </w:trPr>
        <w:tc>
          <w:tcPr>
            <w:tcW w:w="40" w:type="dxa"/>
            <w:vAlign w:val="bottom"/>
            <w:tcBorders>
              <w:left w:val="single" w:sz="8" w:color="auto"/>
            </w:tcBorders>
          </w:tcPr>
          <w:p>
            <w:pPr>
              <w:spacing w:after="0"/>
              <w:rPr>
                <w:sz w:val="2"/>
                <w:szCs w:val="2"/>
                <w:color w:val="auto"/>
              </w:rPr>
            </w:pPr>
          </w:p>
        </w:tc>
        <w:tc>
          <w:tcPr>
            <w:tcW w:w="160" w:type="dxa"/>
            <w:vAlign w:val="bottom"/>
            <w:shd w:val="clear" w:color="auto" w:fill="E7E7E2"/>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shd w:val="clear" w:color="auto" w:fill="E7E7E2"/>
          </w:tcPr>
          <w:p>
            <w:pPr>
              <w:spacing w:after="0"/>
              <w:rPr>
                <w:sz w:val="2"/>
                <w:szCs w:val="2"/>
                <w:color w:val="auto"/>
              </w:rPr>
            </w:pPr>
          </w:p>
        </w:tc>
        <w:tc>
          <w:tcPr>
            <w:tcW w:w="40" w:type="dxa"/>
            <w:vAlign w:val="bottom"/>
          </w:tcPr>
          <w:p>
            <w:pPr>
              <w:spacing w:after="0"/>
              <w:rPr>
                <w:sz w:val="2"/>
                <w:szCs w:val="2"/>
                <w:color w:val="auto"/>
              </w:rPr>
            </w:pPr>
          </w:p>
        </w:tc>
        <w:tc>
          <w:tcPr>
            <w:tcW w:w="940" w:type="dxa"/>
            <w:vAlign w:val="bottom"/>
            <w:vMerge w:val="continue"/>
            <w:shd w:val="clear" w:color="auto" w:fill="E7E7E2"/>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shd w:val="clear" w:color="auto" w:fill="E7E7E2"/>
          </w:tcPr>
          <w:p>
            <w:pPr>
              <w:spacing w:after="0"/>
              <w:rPr>
                <w:sz w:val="2"/>
                <w:szCs w:val="2"/>
                <w:color w:val="auto"/>
              </w:rPr>
            </w:pPr>
          </w:p>
        </w:tc>
        <w:tc>
          <w:tcPr>
            <w:tcW w:w="40" w:type="dxa"/>
            <w:vAlign w:val="bottom"/>
          </w:tcPr>
          <w:p>
            <w:pPr>
              <w:spacing w:after="0"/>
              <w:rPr>
                <w:sz w:val="2"/>
                <w:szCs w:val="2"/>
                <w:color w:val="auto"/>
              </w:rPr>
            </w:pPr>
          </w:p>
        </w:tc>
        <w:tc>
          <w:tcPr>
            <w:tcW w:w="1140" w:type="dxa"/>
            <w:vAlign w:val="bottom"/>
            <w:shd w:val="clear" w:color="auto" w:fill="E7E7E2"/>
          </w:tcPr>
          <w:p>
            <w:pPr>
              <w:spacing w:after="0"/>
              <w:rPr>
                <w:sz w:val="2"/>
                <w:szCs w:val="2"/>
                <w:color w:val="auto"/>
              </w:rPr>
            </w:pPr>
          </w:p>
        </w:tc>
        <w:tc>
          <w:tcPr>
            <w:tcW w:w="40" w:type="dxa"/>
            <w:vAlign w:val="bottom"/>
          </w:tcPr>
          <w:p>
            <w:pPr>
              <w:spacing w:after="0"/>
              <w:rPr>
                <w:sz w:val="2"/>
                <w:szCs w:val="2"/>
                <w:color w:val="auto"/>
              </w:rPr>
            </w:pPr>
          </w:p>
        </w:tc>
        <w:tc>
          <w:tcPr>
            <w:tcW w:w="1300" w:type="dxa"/>
            <w:vAlign w:val="bottom"/>
            <w:shd w:val="clear" w:color="auto" w:fill="E7E7E2"/>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shd w:val="clear" w:color="auto" w:fill="E7E7E2"/>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shd w:val="clear" w:color="auto" w:fill="E7E7E2"/>
          </w:tcPr>
          <w:p>
            <w:pPr>
              <w:spacing w:after="0"/>
              <w:rPr>
                <w:sz w:val="2"/>
                <w:szCs w:val="2"/>
                <w:color w:val="auto"/>
              </w:rPr>
            </w:pPr>
          </w:p>
        </w:tc>
        <w:tc>
          <w:tcPr>
            <w:tcW w:w="20" w:type="dxa"/>
            <w:vAlign w:val="bottom"/>
          </w:tcPr>
          <w:p>
            <w:pPr>
              <w:spacing w:after="0"/>
              <w:rPr>
                <w:sz w:val="2"/>
                <w:szCs w:val="2"/>
                <w:color w:val="auto"/>
              </w:rPr>
            </w:pPr>
          </w:p>
        </w:tc>
        <w:tc>
          <w:tcPr>
            <w:tcW w:w="1480" w:type="dxa"/>
            <w:vAlign w:val="bottom"/>
            <w:shd w:val="clear" w:color="auto" w:fill="E7E7E2"/>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shd w:val="clear" w:color="auto" w:fill="E7E7E2"/>
          </w:tcPr>
          <w:p>
            <w:pPr>
              <w:jc w:val="center"/>
              <w:spacing w:after="0"/>
              <w:rPr>
                <w:sz w:val="20"/>
                <w:szCs w:val="20"/>
                <w:color w:val="auto"/>
              </w:rPr>
            </w:pPr>
            <w:r>
              <w:rPr>
                <w:rFonts w:ascii="Arial" w:cs="Arial" w:eastAsia="Arial" w:hAnsi="Arial"/>
                <w:sz w:val="22"/>
                <w:szCs w:val="22"/>
                <w:color w:val="auto"/>
                <w:w w:val="96"/>
              </w:rPr>
              <w:t>per share</w:t>
            </w:r>
          </w:p>
        </w:tc>
        <w:tc>
          <w:tcPr>
            <w:tcW w:w="20" w:type="dxa"/>
            <w:vAlign w:val="bottom"/>
          </w:tcPr>
          <w:p>
            <w:pPr>
              <w:spacing w:after="0"/>
              <w:rPr>
                <w:sz w:val="24"/>
                <w:szCs w:val="24"/>
                <w:color w:val="auto"/>
              </w:rPr>
            </w:pPr>
          </w:p>
        </w:tc>
        <w:tc>
          <w:tcPr>
            <w:tcW w:w="12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3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shd w:val="clear" w:color="auto" w:fill="E7E7E2"/>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lef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380" w:type="dxa"/>
            <w:vAlign w:val="bottom"/>
            <w:gridSpan w:val="3"/>
          </w:tcPr>
          <w:p>
            <w:pPr>
              <w:jc w:val="right"/>
              <w:spacing w:after="0"/>
              <w:rPr>
                <w:sz w:val="20"/>
                <w:szCs w:val="20"/>
                <w:color w:val="auto"/>
              </w:rPr>
            </w:pPr>
            <w:r>
              <w:rPr>
                <w:rFonts w:ascii="Arial" w:cs="Arial" w:eastAsia="Arial" w:hAnsi="Arial"/>
                <w:sz w:val="22"/>
                <w:szCs w:val="22"/>
                <w:color w:val="auto"/>
              </w:rPr>
              <w:t>Total Offering Amounts:</w:t>
            </w:r>
          </w:p>
        </w:tc>
        <w:tc>
          <w:tcPr>
            <w:tcW w:w="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60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500" w:type="dxa"/>
            <w:vAlign w:val="bottom"/>
            <w:gridSpan w:val="2"/>
          </w:tcPr>
          <w:p>
            <w:pPr>
              <w:jc w:val="right"/>
              <w:spacing w:after="0"/>
              <w:rPr>
                <w:sz w:val="20"/>
                <w:szCs w:val="20"/>
                <w:color w:val="auto"/>
              </w:rPr>
            </w:pPr>
            <w:r>
              <w:rPr>
                <w:rFonts w:ascii="Arial" w:cs="Arial" w:eastAsia="Arial" w:hAnsi="Arial"/>
                <w:sz w:val="22"/>
                <w:szCs w:val="22"/>
                <w:color w:val="auto"/>
              </w:rPr>
              <w:t>$ 26,690.89</w:t>
            </w: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0" w:type="dxa"/>
            <w:vAlign w:val="bottom"/>
            <w:gridSpan w:val="2"/>
          </w:tcPr>
          <w:p>
            <w:pPr>
              <w:jc w:val="right"/>
              <w:spacing w:after="0"/>
              <w:rPr>
                <w:sz w:val="20"/>
                <w:szCs w:val="20"/>
                <w:color w:val="auto"/>
              </w:rPr>
            </w:pPr>
            <w:r>
              <w:rPr>
                <w:rFonts w:ascii="Arial" w:cs="Arial" w:eastAsia="Arial" w:hAnsi="Arial"/>
                <w:sz w:val="22"/>
                <w:szCs w:val="22"/>
                <w:color w:val="auto"/>
              </w:rPr>
              <w:t>174,336,313.76</w:t>
            </w: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80" w:type="dxa"/>
            <w:vAlign w:val="bottom"/>
            <w:gridSpan w:val="3"/>
          </w:tcPr>
          <w:p>
            <w:pPr>
              <w:jc w:val="right"/>
              <w:spacing w:after="0"/>
              <w:rPr>
                <w:sz w:val="20"/>
                <w:szCs w:val="20"/>
                <w:color w:val="auto"/>
              </w:rPr>
            </w:pPr>
            <w:r>
              <w:rPr>
                <w:rFonts w:ascii="Arial" w:cs="Arial" w:eastAsia="Arial" w:hAnsi="Arial"/>
                <w:sz w:val="22"/>
                <w:szCs w:val="22"/>
                <w:color w:val="auto"/>
              </w:rPr>
              <w:t>Total Fee Offsets:</w:t>
            </w:r>
          </w:p>
        </w:tc>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00" w:type="dxa"/>
            <w:vAlign w:val="bottom"/>
            <w:gridSpan w:val="2"/>
          </w:tcPr>
          <w:p>
            <w:pPr>
              <w:jc w:val="right"/>
              <w:spacing w:after="0"/>
              <w:rPr>
                <w:sz w:val="20"/>
                <w:szCs w:val="20"/>
                <w:color w:val="auto"/>
              </w:rPr>
            </w:pPr>
            <w:r>
              <w:rPr>
                <w:rFonts w:ascii="Arial" w:cs="Arial" w:eastAsia="Arial" w:hAnsi="Arial"/>
                <w:sz w:val="22"/>
                <w:szCs w:val="22"/>
                <w:color w:val="auto"/>
              </w:rPr>
              <w:t>$ 0.00</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80" w:type="dxa"/>
            <w:vAlign w:val="bottom"/>
            <w:gridSpan w:val="3"/>
          </w:tcPr>
          <w:p>
            <w:pPr>
              <w:jc w:val="right"/>
              <w:spacing w:after="0"/>
              <w:rPr>
                <w:sz w:val="20"/>
                <w:szCs w:val="20"/>
                <w:color w:val="auto"/>
              </w:rPr>
            </w:pPr>
            <w:r>
              <w:rPr>
                <w:rFonts w:ascii="Arial" w:cs="Arial" w:eastAsia="Arial" w:hAnsi="Arial"/>
                <w:sz w:val="22"/>
                <w:szCs w:val="22"/>
                <w:color w:val="auto"/>
              </w:rPr>
              <w:t>Net Fee Due:</w:t>
            </w:r>
          </w:p>
        </w:tc>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00" w:type="dxa"/>
            <w:vAlign w:val="bottom"/>
            <w:gridSpan w:val="2"/>
          </w:tcPr>
          <w:p>
            <w:pPr>
              <w:jc w:val="right"/>
              <w:spacing w:after="0"/>
              <w:rPr>
                <w:sz w:val="20"/>
                <w:szCs w:val="20"/>
                <w:color w:val="auto"/>
              </w:rPr>
            </w:pPr>
            <w:r>
              <w:rPr>
                <w:rFonts w:ascii="Arial" w:cs="Arial" w:eastAsia="Arial" w:hAnsi="Arial"/>
                <w:sz w:val="22"/>
                <w:szCs w:val="22"/>
                <w:color w:val="auto"/>
              </w:rPr>
              <w:t>$ 26,690.89</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Offering Note</w:t>
      </w:r>
    </w:p>
    <w:p>
      <w:pPr>
        <w:spacing w:after="0" w:line="154" w:lineRule="exact"/>
        <w:rPr>
          <w:sz w:val="20"/>
          <w:szCs w:val="20"/>
          <w:color w:val="auto"/>
        </w:rPr>
      </w:pPr>
    </w:p>
    <w:p>
      <w:pPr>
        <w:spacing w:after="0"/>
        <w:rPr>
          <w:sz w:val="20"/>
          <w:szCs w:val="20"/>
          <w:color w:val="auto"/>
        </w:rPr>
      </w:pPr>
      <w:r>
        <w:rPr>
          <w:rFonts w:ascii="Arial" w:cs="Arial" w:eastAsia="Arial" w:hAnsi="Arial"/>
          <w:sz w:val="13"/>
          <w:szCs w:val="13"/>
          <w:color w:val="auto"/>
        </w:rPr>
        <w:t>1</w:t>
      </w:r>
    </w:p>
    <w:p>
      <w:pPr>
        <w:spacing w:after="0" w:line="80" w:lineRule="exact"/>
        <w:rPr>
          <w:sz w:val="20"/>
          <w:szCs w:val="20"/>
          <w:color w:val="auto"/>
        </w:rPr>
      </w:pPr>
    </w:p>
    <w:p>
      <w:pPr>
        <w:ind w:left="240" w:hanging="2"/>
        <w:spacing w:after="0" w:line="248" w:lineRule="auto"/>
        <w:tabs>
          <w:tab w:leader="none" w:pos="564" w:val="left"/>
        </w:tabs>
        <w:numPr>
          <w:ilvl w:val="0"/>
          <w:numId w:val="4"/>
        </w:numPr>
        <w:rPr>
          <w:rFonts w:ascii="Arial" w:cs="Arial" w:eastAsia="Arial" w:hAnsi="Arial"/>
          <w:sz w:val="21"/>
          <w:szCs w:val="21"/>
          <w:color w:val="auto"/>
        </w:rPr>
      </w:pPr>
      <w:r>
        <w:rPr>
          <w:rFonts w:ascii="Arial" w:cs="Arial" w:eastAsia="Arial" w:hAnsi="Arial"/>
          <w:sz w:val="21"/>
          <w:szCs w:val="21"/>
          <w:color w:val="auto"/>
        </w:rPr>
        <w:t>Life360, Inc., a Delaware corporation (the "Registrant"), is registering 3,770,249 shares of common stock, par value $0.001 per share (the "Common Stock"), that may be issued under the Life360, Inc. Amended and Restated 2011 Stock Plan (the "Plan"). Pursuant to Rule 416(a) promulgated under the Securities Act of 1933, as amended (the "Securities Act"), this Registration Statement shall also cover such additional and indeterminate number of shares of Registrant's Common Stock that become issuable under the Plan by reason of any stock dividend, stock split, recapitalization, or other similar transaction effected without receipt of consideration that results in an increase to the number of outstanding shares of Registrant's Common Stock, as applicable.</w:t>
      </w:r>
    </w:p>
    <w:p>
      <w:pPr>
        <w:spacing w:after="0" w:line="197" w:lineRule="exact"/>
        <w:rPr>
          <w:rFonts w:ascii="Arial" w:cs="Arial" w:eastAsia="Arial" w:hAnsi="Arial"/>
          <w:sz w:val="21"/>
          <w:szCs w:val="21"/>
          <w:color w:val="auto"/>
        </w:rPr>
      </w:pPr>
    </w:p>
    <w:p>
      <w:pPr>
        <w:jc w:val="both"/>
        <w:ind w:left="240" w:right="340" w:hanging="2"/>
        <w:spacing w:after="0"/>
        <w:tabs>
          <w:tab w:leader="none" w:pos="564" w:val="left"/>
        </w:tabs>
        <w:numPr>
          <w:ilvl w:val="0"/>
          <w:numId w:val="4"/>
        </w:numPr>
        <w:rPr>
          <w:rFonts w:ascii="Arial" w:cs="Arial" w:eastAsia="Arial" w:hAnsi="Arial"/>
          <w:sz w:val="22"/>
          <w:szCs w:val="22"/>
          <w:color w:val="auto"/>
        </w:rPr>
      </w:pPr>
      <w:r>
        <w:rPr>
          <w:rFonts w:ascii="Arial" w:cs="Arial" w:eastAsia="Arial" w:hAnsi="Arial"/>
          <w:sz w:val="22"/>
          <w:szCs w:val="22"/>
          <w:color w:val="auto"/>
        </w:rPr>
        <w:t>The offering price per unit and in the aggregate are estimated in accordance with Rule 457(h) under the Securities Act solely for the purpose of calculating the registration fee on the basis of $46.24 per share, the average of the high and low prices of the Registrant's Common Stock on February 21, 2025 as reported on the Nasdaq Global Select Market.</w:t>
      </w:r>
    </w:p>
    <w:p>
      <w:pPr>
        <w:spacing w:after="0" w:line="203" w:lineRule="exact"/>
        <w:rPr>
          <w:rFonts w:ascii="Arial" w:cs="Arial" w:eastAsia="Arial" w:hAnsi="Arial"/>
          <w:sz w:val="22"/>
          <w:szCs w:val="22"/>
          <w:color w:val="auto"/>
        </w:rPr>
      </w:pPr>
    </w:p>
    <w:p>
      <w:pPr>
        <w:ind w:left="240" w:right="20" w:hanging="2"/>
        <w:spacing w:after="0" w:line="259" w:lineRule="auto"/>
        <w:tabs>
          <w:tab w:leader="none" w:pos="552" w:val="left"/>
        </w:tabs>
        <w:numPr>
          <w:ilvl w:val="0"/>
          <w:numId w:val="4"/>
        </w:numPr>
        <w:rPr>
          <w:rFonts w:ascii="Arial" w:cs="Arial" w:eastAsia="Arial" w:hAnsi="Arial"/>
          <w:sz w:val="22"/>
          <w:szCs w:val="22"/>
          <w:color w:val="auto"/>
        </w:rPr>
      </w:pPr>
      <w:r>
        <w:rPr>
          <w:rFonts w:ascii="Arial" w:cs="Arial" w:eastAsia="Arial" w:hAnsi="Arial"/>
          <w:sz w:val="22"/>
          <w:szCs w:val="22"/>
          <w:color w:val="auto"/>
        </w:rPr>
        <w:t>Represents shares of the Registrant's Common Stock that were added for issuance under the Plan on January 1, 2025 pursuant to an "evergreen" provision contained in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68580</wp:posOffset>
            </wp:positionV>
            <wp:extent cx="697738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extLst>
                    </a:blip>
                    <a:srcRect/>
                    <a:stretch>
                      <a:fillRect/>
                    </a:stretch>
                  </pic:blipFill>
                  <pic:spPr bwMode="auto">
                    <a:xfrm>
                      <a:off x="0" y="0"/>
                      <a:ext cx="6977380" cy="42545"/>
                    </a:xfrm>
                    <a:prstGeom prst="rect">
                      <a:avLst/>
                    </a:prstGeom>
                    <a:noFill/>
                  </pic:spPr>
                </pic:pic>
              </a:graphicData>
            </a:graphic>
          </wp:anchor>
        </w:drawing>
      </w:r>
    </w:p>
    <w:p>
      <w:pPr>
        <w:sectPr>
          <w:pgSz w:w="11900" w:h="16838" w:orient="portrait"/>
          <w:cols w:equalWidth="0" w:num="1">
            <w:col w:w="11140"/>
          </w:cols>
          <w:pgMar w:left="360" w:top="142" w:right="39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5.1</w:t>
      </w:r>
    </w:p>
    <w:p>
      <w:pPr>
        <w:spacing w:after="0" w:line="60" w:lineRule="exact"/>
        <w:rPr>
          <w:sz w:val="20"/>
          <w:szCs w:val="20"/>
          <w:color w:val="auto"/>
        </w:rPr>
      </w:pPr>
    </w:p>
    <w:p>
      <w:pPr>
        <w:ind w:left="5020"/>
        <w:spacing w:after="0"/>
        <w:rPr>
          <w:sz w:val="20"/>
          <w:szCs w:val="20"/>
          <w:color w:val="auto"/>
        </w:rPr>
      </w:pPr>
      <w:r>
        <w:rPr>
          <w:rFonts w:ascii="Arial" w:cs="Arial" w:eastAsia="Arial" w:hAnsi="Arial"/>
          <w:sz w:val="12"/>
          <w:szCs w:val="12"/>
          <w:color w:val="auto"/>
        </w:rPr>
        <w:t>SIDLEY AUSTIN LLP</w:t>
      </w:r>
    </w:p>
    <w:p>
      <w:pPr>
        <w:spacing w:after="0" w:line="51" w:lineRule="exact"/>
        <w:rPr>
          <w:sz w:val="20"/>
          <w:szCs w:val="20"/>
          <w:color w:val="auto"/>
        </w:rPr>
      </w:pPr>
    </w:p>
    <w:p>
      <w:pPr>
        <w:ind w:left="5020"/>
        <w:spacing w:after="0"/>
        <w:rPr>
          <w:sz w:val="20"/>
          <w:szCs w:val="20"/>
          <w:color w:val="auto"/>
        </w:rPr>
      </w:pPr>
      <w:r>
        <w:rPr>
          <w:rFonts w:ascii="Arial" w:cs="Arial" w:eastAsia="Arial" w:hAnsi="Arial"/>
          <w:sz w:val="12"/>
          <w:szCs w:val="12"/>
          <w:color w:val="auto"/>
        </w:rPr>
        <w:t>555 CALIFORNIA STREET</w:t>
      </w:r>
    </w:p>
    <w:p>
      <w:pPr>
        <w:spacing w:after="0" w:line="38" w:lineRule="exact"/>
        <w:rPr>
          <w:sz w:val="20"/>
          <w:szCs w:val="20"/>
          <w:color w:val="auto"/>
        </w:rPr>
      </w:pPr>
    </w:p>
    <w:p>
      <w:pPr>
        <w:ind w:left="5020"/>
        <w:spacing w:after="0"/>
        <w:rPr>
          <w:sz w:val="20"/>
          <w:szCs w:val="20"/>
          <w:color w:val="auto"/>
        </w:rPr>
      </w:pPr>
      <w:r>
        <w:rPr>
          <w:rFonts w:ascii="Arial" w:cs="Arial" w:eastAsia="Arial" w:hAnsi="Arial"/>
          <w:sz w:val="12"/>
          <w:szCs w:val="12"/>
          <w:color w:val="auto"/>
        </w:rPr>
        <w:t>SUITE 2000</w:t>
      </w:r>
    </w:p>
    <w:p>
      <w:pPr>
        <w:spacing w:after="0" w:line="38" w:lineRule="exact"/>
        <w:rPr>
          <w:sz w:val="20"/>
          <w:szCs w:val="20"/>
          <w:color w:val="auto"/>
        </w:rPr>
      </w:pPr>
    </w:p>
    <w:p>
      <w:pPr>
        <w:ind w:left="5020"/>
        <w:spacing w:after="0"/>
        <w:rPr>
          <w:sz w:val="20"/>
          <w:szCs w:val="20"/>
          <w:color w:val="auto"/>
        </w:rPr>
      </w:pPr>
      <w:r>
        <w:rPr>
          <w:rFonts w:ascii="Arial" w:cs="Arial" w:eastAsia="Arial" w:hAnsi="Arial"/>
          <w:sz w:val="12"/>
          <w:szCs w:val="12"/>
          <w:color w:val="auto"/>
        </w:rPr>
        <w:t>SAN FRANCISCO, CA 94104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20320</wp:posOffset>
            </wp:positionV>
            <wp:extent cx="1036955" cy="2743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extLst>
                    </a:blip>
                    <a:srcRect/>
                    <a:stretch>
                      <a:fillRect/>
                    </a:stretch>
                  </pic:blipFill>
                  <pic:spPr bwMode="auto">
                    <a:xfrm>
                      <a:off x="0" y="0"/>
                      <a:ext cx="1036955" cy="274320"/>
                    </a:xfrm>
                    <a:prstGeom prst="rect">
                      <a:avLst/>
                    </a:prstGeom>
                    <a:noFill/>
                  </pic:spPr>
                </pic:pic>
              </a:graphicData>
            </a:graphic>
          </wp:anchor>
        </w:drawing>
      </w:r>
    </w:p>
    <w:p>
      <w:pPr>
        <w:spacing w:after="0" w:line="31" w:lineRule="exact"/>
        <w:rPr>
          <w:sz w:val="20"/>
          <w:szCs w:val="20"/>
          <w:color w:val="auto"/>
        </w:rPr>
      </w:pPr>
    </w:p>
    <w:p>
      <w:pPr>
        <w:ind w:left="5020"/>
        <w:spacing w:after="0"/>
        <w:rPr>
          <w:sz w:val="20"/>
          <w:szCs w:val="20"/>
          <w:color w:val="auto"/>
        </w:rPr>
      </w:pPr>
      <w:r>
        <w:rPr>
          <w:rFonts w:ascii="Arial" w:cs="Arial" w:eastAsia="Arial" w:hAnsi="Arial"/>
          <w:sz w:val="12"/>
          <w:szCs w:val="12"/>
          <w:color w:val="auto"/>
        </w:rPr>
        <w:t>+1 415 772 1200</w:t>
      </w:r>
    </w:p>
    <w:p>
      <w:pPr>
        <w:spacing w:after="0" w:line="38" w:lineRule="exact"/>
        <w:rPr>
          <w:sz w:val="20"/>
          <w:szCs w:val="20"/>
          <w:color w:val="auto"/>
        </w:rPr>
      </w:pPr>
    </w:p>
    <w:p>
      <w:pPr>
        <w:ind w:left="5020"/>
        <w:spacing w:after="0"/>
        <w:rPr>
          <w:sz w:val="20"/>
          <w:szCs w:val="20"/>
          <w:color w:val="auto"/>
        </w:rPr>
      </w:pPr>
      <w:r>
        <w:rPr>
          <w:rFonts w:ascii="Arial" w:cs="Arial" w:eastAsia="Arial" w:hAnsi="Arial"/>
          <w:sz w:val="12"/>
          <w:szCs w:val="12"/>
          <w:color w:val="auto"/>
        </w:rPr>
        <w:t>+1 415 772 7400 FAX</w:t>
      </w:r>
    </w:p>
    <w:p>
      <w:pPr>
        <w:spacing w:after="0" w:line="200" w:lineRule="exact"/>
        <w:rPr>
          <w:sz w:val="20"/>
          <w:szCs w:val="20"/>
          <w:color w:val="auto"/>
        </w:rPr>
      </w:pPr>
    </w:p>
    <w:p>
      <w:pPr>
        <w:spacing w:after="0" w:line="324" w:lineRule="exact"/>
        <w:rPr>
          <w:sz w:val="20"/>
          <w:szCs w:val="20"/>
          <w:color w:val="auto"/>
        </w:rPr>
      </w:pPr>
    </w:p>
    <w:p>
      <w:pPr>
        <w:ind w:left="5020"/>
        <w:spacing w:after="0"/>
        <w:rPr>
          <w:sz w:val="20"/>
          <w:szCs w:val="20"/>
          <w:color w:val="auto"/>
        </w:rPr>
      </w:pPr>
      <w:r>
        <w:rPr>
          <w:rFonts w:ascii="Arial" w:cs="Arial" w:eastAsia="Arial" w:hAnsi="Arial"/>
          <w:sz w:val="12"/>
          <w:szCs w:val="12"/>
          <w:color w:val="auto"/>
        </w:rPr>
        <w:t>AMERICA ASIA PACIFIC EUROPE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February 27, 2025</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Life360, Inc.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1900 South Norfolk Street, Suite 310</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San Mateo, CA 94403</w:t>
      </w:r>
    </w:p>
    <w:p>
      <w:pPr>
        <w:spacing w:after="0" w:line="223"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2"/>
          <w:szCs w:val="22"/>
          <w:color w:val="auto"/>
        </w:rPr>
        <w:t>Re:</w:t>
      </w:r>
      <w:r>
        <w:rPr>
          <w:sz w:val="20"/>
          <w:szCs w:val="20"/>
          <w:color w:val="auto"/>
        </w:rPr>
        <w:tab/>
      </w:r>
      <w:r>
        <w:rPr>
          <w:rFonts w:ascii="Times New Roman" w:cs="Times New Roman" w:eastAsia="Times New Roman" w:hAnsi="Times New Roman"/>
          <w:sz w:val="21"/>
          <w:szCs w:val="21"/>
          <w:u w:val="single" w:color="auto"/>
          <w:color w:val="auto"/>
        </w:rPr>
        <w:t>3,770,249 Shares of Common Stock, $0.001 par value per share</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125" w:lineRule="exact"/>
        <w:rPr>
          <w:sz w:val="20"/>
          <w:szCs w:val="20"/>
          <w:color w:val="auto"/>
        </w:rPr>
      </w:pPr>
    </w:p>
    <w:p>
      <w:pPr>
        <w:ind w:right="100" w:firstLine="648"/>
        <w:spacing w:after="0" w:line="251" w:lineRule="auto"/>
        <w:rPr>
          <w:sz w:val="20"/>
          <w:szCs w:val="20"/>
          <w:color w:val="auto"/>
        </w:rPr>
      </w:pPr>
      <w:r>
        <w:rPr>
          <w:rFonts w:ascii="Times New Roman" w:cs="Times New Roman" w:eastAsia="Times New Roman" w:hAnsi="Times New Roman"/>
          <w:sz w:val="22"/>
          <w:szCs w:val="22"/>
          <w:color w:val="auto"/>
        </w:rPr>
        <w:t>We refer to the Registration Statement on Form S-8 (the “</w:t>
      </w:r>
      <w:r>
        <w:rPr>
          <w:rFonts w:ascii="Times New Roman" w:cs="Times New Roman" w:eastAsia="Times New Roman" w:hAnsi="Times New Roman"/>
          <w:sz w:val="22"/>
          <w:szCs w:val="22"/>
          <w:u w:val="single" w:color="auto"/>
          <w:color w:val="auto"/>
        </w:rPr>
        <w:t>Registration Statement</w:t>
      </w:r>
      <w:r>
        <w:rPr>
          <w:rFonts w:ascii="Times New Roman" w:cs="Times New Roman" w:eastAsia="Times New Roman" w:hAnsi="Times New Roman"/>
          <w:sz w:val="22"/>
          <w:szCs w:val="22"/>
          <w:color w:val="auto"/>
        </w:rPr>
        <w:t>”) being filed by Life360, Inc,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with the Securities and Exchange Commission under the Securities Act of 1933, as amended (the “</w:t>
      </w:r>
      <w:r>
        <w:rPr>
          <w:rFonts w:ascii="Times New Roman" w:cs="Times New Roman" w:eastAsia="Times New Roman" w:hAnsi="Times New Roman"/>
          <w:sz w:val="22"/>
          <w:szCs w:val="22"/>
          <w:u w:val="single" w:color="auto"/>
          <w:color w:val="auto"/>
        </w:rPr>
        <w:t>Securities Act</w:t>
      </w:r>
      <w:r>
        <w:rPr>
          <w:rFonts w:ascii="Times New Roman" w:cs="Times New Roman" w:eastAsia="Times New Roman" w:hAnsi="Times New Roman"/>
          <w:sz w:val="22"/>
          <w:szCs w:val="22"/>
          <w:color w:val="auto"/>
        </w:rPr>
        <w:t>”), relating to the registration of 3,770,249 shares of common stock, $0.001 par value per share (the “</w:t>
      </w:r>
      <w:r>
        <w:rPr>
          <w:rFonts w:ascii="Times New Roman" w:cs="Times New Roman" w:eastAsia="Times New Roman" w:hAnsi="Times New Roman"/>
          <w:sz w:val="22"/>
          <w:szCs w:val="22"/>
          <w:u w:val="single" w:color="auto"/>
          <w:color w:val="auto"/>
        </w:rPr>
        <w:t>Common Stock</w:t>
      </w:r>
      <w:r>
        <w:rPr>
          <w:rFonts w:ascii="Times New Roman" w:cs="Times New Roman" w:eastAsia="Times New Roman" w:hAnsi="Times New Roman"/>
          <w:sz w:val="22"/>
          <w:szCs w:val="22"/>
          <w:color w:val="auto"/>
        </w:rPr>
        <w:t>”), of the Company which may be issued under the Life360, Inc. Amended and Restated 2011 Stock Plan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and the aggregate number of shares of Common Stock to be registered under the Registration Statement, the “</w:t>
      </w:r>
      <w:r>
        <w:rPr>
          <w:rFonts w:ascii="Times New Roman" w:cs="Times New Roman" w:eastAsia="Times New Roman" w:hAnsi="Times New Roman"/>
          <w:sz w:val="22"/>
          <w:szCs w:val="22"/>
          <w:u w:val="single" w:color="auto"/>
          <w:color w:val="auto"/>
        </w:rPr>
        <w:t>Registered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Shares</w:t>
      </w:r>
      <w:r>
        <w:rPr>
          <w:rFonts w:ascii="Times New Roman" w:cs="Times New Roman" w:eastAsia="Times New Roman" w:hAnsi="Times New Roman"/>
          <w:sz w:val="22"/>
          <w:szCs w:val="22"/>
          <w:color w:val="auto"/>
        </w:rPr>
        <w:t>”).</w:t>
      </w:r>
    </w:p>
    <w:p>
      <w:pPr>
        <w:spacing w:after="0" w:line="73" w:lineRule="exact"/>
        <w:rPr>
          <w:sz w:val="20"/>
          <w:szCs w:val="20"/>
          <w:color w:val="auto"/>
        </w:rPr>
      </w:pPr>
    </w:p>
    <w:p>
      <w:pPr>
        <w:ind w:right="360" w:firstLine="1296"/>
        <w:spacing w:after="0" w:line="271" w:lineRule="auto"/>
        <w:rPr>
          <w:sz w:val="20"/>
          <w:szCs w:val="20"/>
          <w:color w:val="auto"/>
        </w:rPr>
      </w:pPr>
      <w:r>
        <w:rPr>
          <w:rFonts w:ascii="Times New Roman" w:cs="Times New Roman" w:eastAsia="Times New Roman" w:hAnsi="Times New Roman"/>
          <w:sz w:val="22"/>
          <w:szCs w:val="22"/>
          <w:color w:val="auto"/>
        </w:rPr>
        <w:t>This opinion letter is being delivered in accordance with the requirements of Item 601(b)(5) of Regulation S-K under the Securities Act.</w:t>
      </w:r>
    </w:p>
    <w:p>
      <w:pPr>
        <w:spacing w:after="0" w:line="50" w:lineRule="exact"/>
        <w:rPr>
          <w:sz w:val="20"/>
          <w:szCs w:val="20"/>
          <w:color w:val="auto"/>
        </w:rPr>
      </w:pPr>
    </w:p>
    <w:p>
      <w:pPr>
        <w:ind w:firstLine="1296"/>
        <w:spacing w:after="0" w:line="248" w:lineRule="auto"/>
        <w:rPr>
          <w:sz w:val="20"/>
          <w:szCs w:val="20"/>
          <w:color w:val="auto"/>
        </w:rPr>
      </w:pPr>
      <w:r>
        <w:rPr>
          <w:rFonts w:ascii="Times New Roman" w:cs="Times New Roman" w:eastAsia="Times New Roman" w:hAnsi="Times New Roman"/>
          <w:sz w:val="22"/>
          <w:szCs w:val="22"/>
          <w:color w:val="auto"/>
        </w:rPr>
        <w:t>We have examined the Registration Statement, the Company’s Restated Certificate of Incorporation, Amended and Restated Bylaws, the Plan and the resolutions adopted by the board of directors of the Company relating to the Registration Statement and the Plan[, and the proposal adopted by the stockholders of the Company relating to the Plan at the Company’s Annual Meeting of Stockholders held on May 30, 2023]. We have also examined originals, or copies of originals certified to our satisfaction, of such agreements, documents, certificates and statements of the Company and other corporate documents and instruments, and have examined such questions of law, as we have considered relevant and necessary as a basis for this opinion letter. We have assumed the authenticity of all documents submitted to us as originals, the genuineness of all signatures, the legal capacity of all persons and the conformity with the original documents of any copies thereof submitted to us for examination. As to facts relevant to the opinions expressed herein, we have relied without independent investigation or verification upon, and assumed the accuracy and completeness of, certificates, letters and oral and written statements and representations of public officials and officers and other representatives of the Company.</w:t>
      </w:r>
    </w:p>
    <w:p>
      <w:pPr>
        <w:spacing w:after="0" w:line="81" w:lineRule="exact"/>
        <w:rPr>
          <w:sz w:val="20"/>
          <w:szCs w:val="20"/>
          <w:color w:val="auto"/>
        </w:rPr>
      </w:pPr>
    </w:p>
    <w:p>
      <w:pPr>
        <w:ind w:right="100" w:firstLine="1296"/>
        <w:spacing w:after="0" w:line="271" w:lineRule="auto"/>
        <w:rPr>
          <w:sz w:val="20"/>
          <w:szCs w:val="20"/>
          <w:color w:val="auto"/>
        </w:rPr>
      </w:pPr>
      <w:r>
        <w:rPr>
          <w:rFonts w:ascii="Times New Roman" w:cs="Times New Roman" w:eastAsia="Times New Roman" w:hAnsi="Times New Roman"/>
          <w:sz w:val="22"/>
          <w:szCs w:val="22"/>
          <w:color w:val="auto"/>
        </w:rPr>
        <w:t>Based on the foregoing, we are of the opinion that each Registered Share that is newly issued pursuant to the Plan will be validly issued, fully paid and non-assessable when: (i)</w:t>
      </w:r>
    </w:p>
    <w:p>
      <w:pPr>
        <w:sectPr>
          <w:pgSz w:w="11900" w:h="16838" w:orient="portrait"/>
          <w:cols w:equalWidth="0" w:num="1">
            <w:col w:w="11240"/>
          </w:cols>
          <w:pgMar w:left="320" w:top="10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036955" cy="2743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036955" cy="274320"/>
                    </a:xfrm>
                    <a:prstGeom prst="rect">
                      <a:avLst/>
                    </a:prstGeom>
                    <a:noFill/>
                  </pic:spPr>
                </pic:pic>
              </a:graphicData>
            </a:graphic>
          </wp:anchor>
        </w:drawing>
        <w:t>Life360, Inc.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February 27, 2025</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21"/>
          <w:szCs w:val="21"/>
          <w:color w:val="auto"/>
        </w:rPr>
        <w:t>the Registration Statement, as finally amended, shall have become effective under the Securities Act; (ii) such Registered Share shall have been duly issued and delivered in accordance with the Plan; and (iii) certificates representing such Registered Share shall have been duly executed, countersigned and registered and duly delivered to the person entitled thereto against payment of the agreed consideration therefor (in an amount not less than the par value thereof) or, if any Registered Share is to be issued in uncertificated form, the Company’s books shall reflect the issuance of such Registered Share to the person entitled thereto against payment of the agreed consideration therefor (in an amount not less than the par value thereof), all in accordance with the Plan.</w:t>
      </w:r>
    </w:p>
    <w:p>
      <w:pPr>
        <w:spacing w:after="0" w:line="74" w:lineRule="exact"/>
        <w:rPr>
          <w:sz w:val="20"/>
          <w:szCs w:val="20"/>
          <w:color w:val="auto"/>
        </w:rPr>
      </w:pPr>
    </w:p>
    <w:p>
      <w:pPr>
        <w:ind w:right="180" w:firstLine="1296"/>
        <w:spacing w:after="0" w:line="257" w:lineRule="auto"/>
        <w:rPr>
          <w:sz w:val="20"/>
          <w:szCs w:val="20"/>
          <w:color w:val="auto"/>
        </w:rPr>
      </w:pPr>
      <w:r>
        <w:rPr>
          <w:rFonts w:ascii="Times New Roman" w:cs="Times New Roman" w:eastAsia="Times New Roman" w:hAnsi="Times New Roman"/>
          <w:sz w:val="22"/>
          <w:szCs w:val="22"/>
          <w:color w:val="auto"/>
        </w:rPr>
        <w:t>This opinion letter is limited to the General Corporation Law of the State of Delaware. We express no opinion as to the laws, rules or regulations of any other jurisdiction, including, without limitation, the federal laws of the United States of America or any state securities or blue sky laws.</w:t>
      </w:r>
    </w:p>
    <w:p>
      <w:pPr>
        <w:spacing w:after="0" w:line="65" w:lineRule="exact"/>
        <w:rPr>
          <w:sz w:val="20"/>
          <w:szCs w:val="20"/>
          <w:color w:val="auto"/>
        </w:rPr>
      </w:pPr>
    </w:p>
    <w:p>
      <w:pPr>
        <w:ind w:right="120" w:firstLine="1296"/>
        <w:spacing w:after="0" w:line="263" w:lineRule="auto"/>
        <w:rPr>
          <w:sz w:val="20"/>
          <w:szCs w:val="20"/>
          <w:color w:val="auto"/>
        </w:rPr>
      </w:pPr>
      <w:r>
        <w:rPr>
          <w:rFonts w:ascii="Times New Roman" w:cs="Times New Roman" w:eastAsia="Times New Roman" w:hAnsi="Times New Roman"/>
          <w:sz w:val="22"/>
          <w:szCs w:val="22"/>
          <w:color w:val="auto"/>
        </w:rPr>
        <w:t>We hereby consent to the filing of this opinion letter as an Exhibit to the Registration Statement and to all references to our Firm included in or made a part of the Registration Statement. In giving such consent, we do not thereby admit that we are in the category of persons whose consent is required under Section 7 of the Securities Act.</w:t>
      </w:r>
    </w:p>
    <w:p>
      <w:pPr>
        <w:spacing w:after="0" w:line="200" w:lineRule="exact"/>
        <w:rPr>
          <w:sz w:val="20"/>
          <w:szCs w:val="20"/>
          <w:color w:val="auto"/>
        </w:rPr>
      </w:pPr>
    </w:p>
    <w:p>
      <w:pPr>
        <w:spacing w:after="0" w:line="21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00" w:lineRule="exact"/>
        <w:rPr>
          <w:sz w:val="20"/>
          <w:szCs w:val="20"/>
          <w:color w:val="auto"/>
        </w:rPr>
      </w:pPr>
    </w:p>
    <w:p>
      <w:pPr>
        <w:spacing w:after="0" w:line="209"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22"/>
          <w:szCs w:val="22"/>
          <w:color w:val="auto"/>
        </w:rPr>
        <w:t>/s/ Sidley Austin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465455</wp:posOffset>
            </wp:positionV>
            <wp:extent cx="5349240" cy="2400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5349240" cy="240030"/>
                    </a:xfrm>
                    <a:prstGeom prst="rect">
                      <a:avLst/>
                    </a:prstGeom>
                    <a:noFill/>
                  </pic:spPr>
                </pic:pic>
              </a:graphicData>
            </a:graphic>
          </wp:anchor>
        </w:drawing>
      </w:r>
    </w:p>
    <w:p>
      <w:pPr>
        <w:sectPr>
          <w:pgSz w:w="11900" w:h="16838" w:orient="portrait"/>
          <w:cols w:equalWidth="0" w:num="1">
            <w:col w:w="11220"/>
          </w:cols>
          <w:pgMar w:left="320" w:top="652" w:right="35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9"/>
          <w:szCs w:val="19"/>
          <w:u w:val="single" w:color="auto"/>
          <w:color w:val="auto"/>
        </w:rPr>
        <w:t>Consent of Independent Registered Public Accounting Firm</w:t>
      </w:r>
    </w:p>
    <w:p>
      <w:pPr>
        <w:spacing w:after="0" w:line="200" w:lineRule="exact"/>
        <w:rPr>
          <w:sz w:val="20"/>
          <w:szCs w:val="20"/>
          <w:color w:val="auto"/>
        </w:rPr>
      </w:pPr>
    </w:p>
    <w:p>
      <w:pPr>
        <w:spacing w:after="0" w:line="270" w:lineRule="exact"/>
        <w:rPr>
          <w:sz w:val="20"/>
          <w:szCs w:val="20"/>
          <w:color w:val="auto"/>
        </w:rPr>
      </w:pPr>
    </w:p>
    <w:p>
      <w:pPr>
        <w:spacing w:after="0" w:line="285" w:lineRule="auto"/>
        <w:rPr>
          <w:sz w:val="20"/>
          <w:szCs w:val="20"/>
          <w:color w:val="auto"/>
        </w:rPr>
      </w:pPr>
      <w:r>
        <w:rPr>
          <w:rFonts w:ascii="Arial" w:cs="Arial" w:eastAsia="Arial" w:hAnsi="Arial"/>
          <w:sz w:val="19"/>
          <w:szCs w:val="19"/>
          <w:color w:val="auto"/>
        </w:rPr>
        <w:t>We hereby consent to the incorporation by reference in the Registration Statement on Form S-8 of Life360, Inc. of our report dated March 23, 2023, relating to the consolidated financial statements which appears in this Annual Report on Form 10-K.</w:t>
      </w:r>
    </w:p>
    <w:p>
      <w:pPr>
        <w:spacing w:after="0" w:line="170" w:lineRule="exact"/>
        <w:rPr>
          <w:sz w:val="20"/>
          <w:szCs w:val="20"/>
          <w:color w:val="auto"/>
        </w:rPr>
      </w:pPr>
    </w:p>
    <w:p>
      <w:pPr>
        <w:spacing w:after="0"/>
        <w:rPr>
          <w:sz w:val="20"/>
          <w:szCs w:val="20"/>
          <w:color w:val="auto"/>
        </w:rPr>
      </w:pPr>
      <w:r>
        <w:rPr>
          <w:rFonts w:ascii="Arial" w:cs="Arial" w:eastAsia="Arial" w:hAnsi="Arial"/>
          <w:sz w:val="19"/>
          <w:szCs w:val="19"/>
          <w:color w:val="auto"/>
        </w:rPr>
        <w:t>/s/ BDO USA, P.C.</w:t>
      </w:r>
    </w:p>
    <w:p>
      <w:pPr>
        <w:spacing w:after="0" w:line="29" w:lineRule="exact"/>
        <w:rPr>
          <w:sz w:val="20"/>
          <w:szCs w:val="20"/>
          <w:color w:val="auto"/>
        </w:rPr>
      </w:pPr>
    </w:p>
    <w:p>
      <w:pPr>
        <w:spacing w:after="0"/>
        <w:rPr>
          <w:sz w:val="20"/>
          <w:szCs w:val="20"/>
          <w:color w:val="auto"/>
        </w:rPr>
      </w:pPr>
      <w:r>
        <w:rPr>
          <w:rFonts w:ascii="Arial" w:cs="Arial" w:eastAsia="Arial" w:hAnsi="Arial"/>
          <w:sz w:val="19"/>
          <w:szCs w:val="19"/>
          <w:color w:val="auto"/>
        </w:rPr>
        <w:t>San Francisco, California</w:t>
      </w:r>
    </w:p>
    <w:p>
      <w:pPr>
        <w:spacing w:after="0" w:line="209" w:lineRule="exact"/>
        <w:rPr>
          <w:sz w:val="20"/>
          <w:szCs w:val="20"/>
          <w:color w:val="auto"/>
        </w:rPr>
      </w:pPr>
    </w:p>
    <w:p>
      <w:pPr>
        <w:spacing w:after="0"/>
        <w:rPr>
          <w:sz w:val="20"/>
          <w:szCs w:val="20"/>
          <w:color w:val="auto"/>
        </w:rPr>
      </w:pPr>
      <w:r>
        <w:rPr>
          <w:rFonts w:ascii="Arial" w:cs="Arial" w:eastAsia="Arial" w:hAnsi="Arial"/>
          <w:sz w:val="19"/>
          <w:szCs w:val="19"/>
          <w:color w:val="auto"/>
        </w:rPr>
        <w:t>February 27, 2025</w:t>
      </w:r>
    </w:p>
    <w:p>
      <w:pPr>
        <w:sectPr>
          <w:pgSz w:w="11900" w:h="16838" w:orient="portrait"/>
          <w:cols w:equalWidth="0" w:num="1">
            <w:col w:w="11240"/>
          </w:cols>
          <w:pgMar w:left="320" w:top="121" w:right="3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391" w:lineRule="exact"/>
        <w:rPr>
          <w:sz w:val="20"/>
          <w:szCs w:val="20"/>
          <w:color w:val="auto"/>
        </w:rPr>
      </w:pPr>
    </w:p>
    <w:p>
      <w:pPr>
        <w:ind w:right="140"/>
        <w:spacing w:after="0" w:line="430" w:lineRule="auto"/>
        <w:rPr>
          <w:sz w:val="20"/>
          <w:szCs w:val="20"/>
          <w:color w:val="auto"/>
        </w:rPr>
      </w:pPr>
      <w:r>
        <w:rPr>
          <w:rFonts w:ascii="Times New Roman" w:cs="Times New Roman" w:eastAsia="Times New Roman" w:hAnsi="Times New Roman"/>
          <w:sz w:val="18"/>
          <w:szCs w:val="18"/>
          <w:color w:val="auto"/>
        </w:rPr>
        <w:t>We consent to the incorporation by reference in this Registration Statement on Form S-8 of our reports dated February 27, 2025 relating to the financial statements of Life360, Inc. and the effectiveness of Life360, Inc.'s internal control over financial reporting, appearing in the Annual Report on Form 10-K of Life360, Inc. for the year ended December 31, 2024.</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2025</w:t>
      </w:r>
    </w:p>
    <w:sectPr>
      <w:pgSz w:w="11900" w:h="16838" w:orient="portrait"/>
      <w:cols w:equalWidth="0" w:num="1">
        <w:col w:w="11240"/>
      </w:cols>
      <w:pgMar w:left="320" w:top="18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07"/>
    </w:lvl>
  </w:abstractNum>
  <w:abstractNum w:abstractNumId="3">
    <w:nsid w:val="625558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9" Type="http://schemas.openxmlformats.org/officeDocument/2006/relationships/image" Target="media/image5.png"/><Relationship Id="rId20" Type="http://schemas.openxmlformats.org/officeDocument/2006/relationships/image" Target="media/image6.jpeg"/><Relationship Id="rId21" Type="http://schemas.openxmlformats.org/officeDocument/2006/relationships/image" Target="media/image7.jpeg"/><Relationship Id="rId22" Type="http://schemas.openxmlformats.org/officeDocument/2006/relationships/image" Target="media/image8.jpeg"/><Relationship Id="rId12" Type="http://schemas.openxmlformats.org/officeDocument/2006/relationships/hyperlink" Target="https://www.sec.gov/ix?doc=/Archives/edgar/data/0001581760/000158176025000008/lifx-20241231.htm" TargetMode="External"/><Relationship Id="rId13" Type="http://schemas.openxmlformats.org/officeDocument/2006/relationships/hyperlink" Target="https://www.sec.gov/Archives/edgar/data/1581760/000119312522187348/d328928d1012ga.htm#rom328928_12" TargetMode="External"/><Relationship Id="rId14" Type="http://schemas.openxmlformats.org/officeDocument/2006/relationships/hyperlink" Target="https://www.sec.gov/Archives/edgar/data/1581760/000119312524152060/d844406dex31.htm" TargetMode="External"/><Relationship Id="rId15" Type="http://schemas.openxmlformats.org/officeDocument/2006/relationships/hyperlink" Target="https://www.sec.gov/Archives/edgar/data/1581760/000119312524152060/d844406dex32.htm" TargetMode="External"/><Relationship Id="rId16" Type="http://schemas.openxmlformats.org/officeDocument/2006/relationships/hyperlink" Target="https://www.sec.gov/Archives/edgar/data/1581760/000119312522120522/d328928dex102.htm" TargetMode="External"/><Relationship Id="rId17" Type="http://schemas.openxmlformats.org/officeDocument/2006/relationships/hyperlink" Target="https://www.sec.gov/Archives/edgar/data/1581760/000119312522120522/d328928dex103.htm" TargetMode="External"/><Relationship Id="rId18" Type="http://schemas.openxmlformats.org/officeDocument/2006/relationships/hyperlink" Target="https://www.sec.gov/Archives/edgar/data/1581760/000119312522120522/d328928dex10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2025-02-27T16:41:05Z</dcterms:created>
  <dcterms:modified xsi:type="dcterms:W3CDTF">2025-02-27T16:41:05Z</dcterms:modified>
</cp:coreProperties>
</file>