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0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0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7043420" cy="6085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608584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320"/>
          </w:cols>
          <w:pgMar w:left="460" w:top="226" w:right="4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Goines Mark</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LIFE360,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1900 SOUTH NORFOLK STREET, SUITE 310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MATEO</w:t>
            </w:r>
          </w:p>
        </w:tc>
        <w:tc>
          <w:tcPr>
            <w:tcW w:w="920" w:type="dxa"/>
            <w:vAlign w:val="bottom"/>
          </w:tcPr>
          <w:p>
            <w:pPr>
              <w:ind w:left="1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94403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Life360,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LIFX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00" w:type="dxa"/>
            <w:vAlign w:val="bottom"/>
            <w:gridSpan w:val="3"/>
          </w:tcPr>
          <w:p>
            <w:pPr>
              <w:ind w:left="80"/>
              <w:spacing w:after="0"/>
              <w:rPr>
                <w:sz w:val="20"/>
                <w:szCs w:val="20"/>
                <w:color w:val="auto"/>
              </w:rPr>
            </w:pPr>
            <w:r>
              <w:rPr>
                <w:rFonts w:ascii="Arial" w:cs="Arial" w:eastAsia="Arial" w:hAnsi="Arial"/>
                <w:sz w:val="18"/>
                <w:szCs w:val="18"/>
                <w:color w:val="0000FF"/>
              </w:rPr>
              <w:t>05/30/2023</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6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26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160"/>
          </w:cols>
          <w:pgMar w:left="460" w:top="226"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60" w:type="dxa"/>
            <w:vAlign w:val="bottom"/>
          </w:tcPr>
          <w:p>
            <w:pPr>
              <w:ind w:left="70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4"/>
                <w:szCs w:val="14"/>
                <w:color w:val="auto"/>
              </w:rPr>
            </w:pPr>
          </w:p>
        </w:tc>
        <w:tc>
          <w:tcPr>
            <w:tcW w:w="620" w:type="dxa"/>
            <w:vAlign w:val="bottom"/>
          </w:tcPr>
          <w:p>
            <w:pPr>
              <w:jc w:val="right"/>
              <w:ind w:right="166"/>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8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05/30/2023</w:t>
            </w: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5"/>
              </w:rPr>
              <w:t>9,622</w:t>
            </w:r>
            <w:r>
              <w:rPr>
                <w:rFonts w:ascii="Arial" w:cs="Arial" w:eastAsia="Arial" w:hAnsi="Arial"/>
                <w:sz w:val="22"/>
                <w:szCs w:val="22"/>
                <w:color w:val="008000"/>
                <w:w w:val="95"/>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060" w:type="dxa"/>
            <w:vAlign w:val="bottom"/>
            <w:tcBorders>
              <w:bottom w:val="single" w:sz="8" w:color="2C2C2C"/>
            </w:tcBorders>
          </w:tcPr>
          <w:p>
            <w:pPr>
              <w:jc w:val="center"/>
              <w:ind w:right="115"/>
              <w:spacing w:after="0"/>
              <w:rPr>
                <w:sz w:val="20"/>
                <w:szCs w:val="20"/>
                <w:color w:val="auto"/>
              </w:rPr>
            </w:pPr>
            <w:r>
              <w:rPr>
                <w:rFonts w:ascii="Arial" w:cs="Arial" w:eastAsia="Arial" w:hAnsi="Arial"/>
                <w:sz w:val="18"/>
                <w:szCs w:val="18"/>
                <w:color w:val="0000FF"/>
              </w:rPr>
              <w:t>62,522</w:t>
            </w:r>
            <w:r>
              <w:rPr>
                <w:rFonts w:ascii="Arial" w:cs="Arial" w:eastAsia="Arial" w:hAnsi="Arial"/>
                <w:sz w:val="22"/>
                <w:szCs w:val="22"/>
                <w:color w:val="008000"/>
                <w:vertAlign w:val="superscript"/>
              </w:rPr>
              <w:t>(2)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30"/>
        </w:trPr>
        <w:tc>
          <w:tcPr>
            <w:tcW w:w="24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center"/>
              <w:ind w:right="75"/>
              <w:spacing w:after="0" w:line="230" w:lineRule="exact"/>
              <w:rPr>
                <w:sz w:val="20"/>
                <w:szCs w:val="20"/>
                <w:color w:val="auto"/>
              </w:rPr>
            </w:pPr>
            <w:r>
              <w:rPr>
                <w:rFonts w:ascii="Arial" w:cs="Arial" w:eastAsia="Arial" w:hAnsi="Arial"/>
                <w:sz w:val="18"/>
                <w:szCs w:val="18"/>
                <w:color w:val="0000FF"/>
              </w:rPr>
              <w:t>187,589</w:t>
            </w:r>
            <w:r>
              <w:rPr>
                <w:rFonts w:ascii="Arial" w:cs="Arial" w:eastAsia="Arial" w:hAnsi="Arial"/>
                <w:sz w:val="22"/>
                <w:szCs w:val="22"/>
                <w:color w:val="008000"/>
                <w:vertAlign w:val="superscript"/>
              </w:rPr>
              <w:t>(3)</w:t>
            </w:r>
          </w:p>
        </w:tc>
        <w:tc>
          <w:tcPr>
            <w:tcW w:w="980" w:type="dxa"/>
            <w:vAlign w:val="bottom"/>
          </w:tcPr>
          <w:p>
            <w:pPr>
              <w:ind w:left="500"/>
              <w:spacing w:after="0"/>
              <w:rPr>
                <w:sz w:val="20"/>
                <w:szCs w:val="20"/>
                <w:color w:val="auto"/>
              </w:rPr>
            </w:pPr>
            <w:r>
              <w:rPr>
                <w:rFonts w:ascii="Arial" w:cs="Arial" w:eastAsia="Arial" w:hAnsi="Arial"/>
                <w:sz w:val="18"/>
                <w:szCs w:val="18"/>
                <w:color w:val="0000FF"/>
              </w:rPr>
              <w:t>I</w:t>
            </w:r>
          </w:p>
        </w:tc>
        <w:tc>
          <w:tcPr>
            <w:tcW w:w="780" w:type="dxa"/>
            <w:vAlign w:val="bottom"/>
          </w:tcPr>
          <w:p>
            <w:pPr>
              <w:ind w:left="80"/>
              <w:spacing w:after="0"/>
              <w:rPr>
                <w:sz w:val="20"/>
                <w:szCs w:val="20"/>
                <w:color w:val="auto"/>
              </w:rPr>
            </w:pPr>
            <w:r>
              <w:rPr>
                <w:rFonts w:ascii="Arial" w:cs="Arial" w:eastAsia="Arial" w:hAnsi="Arial"/>
                <w:sz w:val="18"/>
                <w:szCs w:val="18"/>
                <w:color w:val="0000FF"/>
              </w:rPr>
              <w:t>Goines</w:t>
            </w: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8"/>
          <w:szCs w:val="18"/>
          <w:color w:val="0000FF"/>
        </w:rPr>
        <w:t>Wong</w:t>
      </w:r>
    </w:p>
    <w:p>
      <w:pPr>
        <w:spacing w:after="0" w:line="2" w:lineRule="exact"/>
        <w:rPr>
          <w:sz w:val="24"/>
          <w:szCs w:val="24"/>
          <w:color w:val="auto"/>
        </w:rPr>
      </w:pPr>
    </w:p>
    <w:p>
      <w:pPr>
        <w:jc w:val="right"/>
        <w:ind w:right="280"/>
        <w:spacing w:after="0"/>
        <w:rPr>
          <w:sz w:val="20"/>
          <w:szCs w:val="20"/>
          <w:color w:val="auto"/>
        </w:rPr>
      </w:pPr>
      <w:r>
        <w:rPr>
          <w:rFonts w:ascii="Arial" w:cs="Arial" w:eastAsia="Arial" w:hAnsi="Arial"/>
          <w:sz w:val="18"/>
          <w:szCs w:val="18"/>
          <w:color w:val="0000FF"/>
        </w:rPr>
        <w:t>Living</w:t>
      </w:r>
    </w:p>
    <w:p>
      <w:pPr>
        <w:spacing w:after="0" w:line="9" w:lineRule="exact"/>
        <w:rPr>
          <w:sz w:val="24"/>
          <w:szCs w:val="24"/>
          <w:color w:val="auto"/>
        </w:rPr>
      </w:pPr>
    </w:p>
    <w:p>
      <w:pPr>
        <w:ind w:left="10260"/>
        <w:spacing w:after="0"/>
        <w:rPr>
          <w:sz w:val="20"/>
          <w:szCs w:val="20"/>
          <w:color w:val="auto"/>
        </w:rPr>
      </w:pPr>
      <w:r>
        <w:rPr>
          <w:rFonts w:ascii="Arial" w:cs="Arial" w:eastAsia="Arial" w:hAnsi="Arial"/>
          <w:sz w:val="18"/>
          <w:szCs w:val="18"/>
          <w:color w:val="0000FF"/>
        </w:rPr>
        <w:t>Trust</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grant of Restricted Stock Units ("RSUs"). Each RSU represents a contingent right to receive one share of the Issuer's common stock upon settlement. 1/4th of the RSUs will vest quarterly from May 15, 2023, subject to the Reporting Person's continuous service through each such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10,777 restricted stock units, each of which represents a contingent right to receive one share of the Issuer's common stock upon vesting.</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Issuer's common stock underlying 562,767 Chess Depositary Interests ("CDIs"). The CDIs are traded on the Australian Securities Exchange (the "ASX") and are held by CHESS Depositary Nominees Pty, Limited, a subsidiary of ASX Limited, the company that operates the ASX.</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 Jay Sood, Attorney-in-fact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06/01/2023</w:t>
            </w:r>
          </w:p>
        </w:tc>
      </w:tr>
      <w:tr>
        <w:trPr>
          <w:trHeight w:val="236"/>
        </w:trPr>
        <w:tc>
          <w:tcPr>
            <w:tcW w:w="214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1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32585"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2023-06-01T17:04:18Z</dcterms:created>
  <dcterms:modified xsi:type="dcterms:W3CDTF">2023-06-01T17:04:18Z</dcterms:modified>
</cp:coreProperties>
</file>