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Hulls Chris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LIF</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26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18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06/07/2024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269,335</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w:t>
            </w:r>
          </w:p>
        </w:tc>
        <w:tc>
          <w:tcPr>
            <w:tcW w:w="12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1,939,542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06/07/2024</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rPr>
              <w:t>19,759</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w:t>
            </w: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10,201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86,554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30,603 Chess Depositary Interests ("CDIs").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45,425 shares of the Issuer's common stock underlying 136,275 CDIs. The number of shares sold and held as reported herein by the Reporting Person represents his proportionate ownership interest in ICCA Labs, LLC.</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06/11/2024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2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3249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2024-06-11T20:17:29Z</dcterms:created>
  <dcterms:modified xsi:type="dcterms:W3CDTF">2024-06-11T20:17:29Z</dcterms:modified>
</cp:coreProperties>
</file>