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6591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59130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Synge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Life360,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NONE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6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05/29/2024</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05/29/2024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5,996</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517,319</w:t>
            </w:r>
            <w:r>
              <w:rPr>
                <w:rFonts w:ascii="Times New Roman" w:cs="Times New Roman" w:eastAsia="Times New Roman" w:hAnsi="Times New Roman"/>
                <w:sz w:val="22"/>
                <w:szCs w:val="22"/>
                <w:color w:val="008000"/>
                <w:w w:val="96"/>
                <w:vertAlign w:val="superscript"/>
              </w:rPr>
              <w:t>(2)</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64,379</w:t>
            </w:r>
            <w:r>
              <w:rPr>
                <w:rFonts w:ascii="Times New Roman" w:cs="Times New Roman" w:eastAsia="Times New Roman" w:hAnsi="Times New Roman"/>
                <w:sz w:val="22"/>
                <w:szCs w:val="22"/>
                <w:color w:val="008000"/>
                <w:w w:val="93"/>
                <w:vertAlign w:val="superscript"/>
              </w:rPr>
              <w:t>(3)</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ICCA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8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Labs,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Stynge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Pty Ltd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70,573</w:t>
            </w:r>
            <w:r>
              <w:rPr>
                <w:rFonts w:ascii="Times New Roman" w:cs="Times New Roman" w:eastAsia="Times New Roman" w:hAnsi="Times New Roman"/>
                <w:sz w:val="22"/>
                <w:szCs w:val="22"/>
                <w:color w:val="008000"/>
                <w:w w:val="93"/>
                <w:vertAlign w:val="superscript"/>
              </w:rPr>
              <w:t>(5)</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ATF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Sandy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Bay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Restricted Stock Units ("RSUs"). Each RSU represents a contingent right to receive one share of the Issuer's common stock upon settlement. 1/4th of the RSUs will vest quarterly from May 15, 2024, subject to the Reporting Person's continuous service through each vest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8,373 RSUs,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193,137 CDIs.</w:t>
      </w:r>
    </w:p>
    <w:p>
      <w:pPr>
        <w:spacing w:after="0" w:line="5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shared investment control over Carthona Capital FS Pty Ltd. ("Carthona Capital"). Carthona Capital is a member of ICCA Labs, LLC, an entity that holds an aggregate of 133,408 shares of the Issuer's common stock underlying 400,224 CDIs. The number of shares reported herein represents Carthona Capital's proportionate ownership interest in ICCA Labs, LLC. The Reporting Person disclaims beneficial ownership of these securities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211,720 CDIs.</w:t>
      </w:r>
    </w:p>
    <w:p>
      <w:pPr>
        <w:spacing w:after="0" w:line="5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shared investment control of Stynge Pty Ltd ATF Sandy Bay Trust. The Reporting Person disclaims beneficial ownership of these securities except to the extent of his pecuniary interest therein.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05/31/2024</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32661"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2024-05-31T13:03:22Z</dcterms:created>
  <dcterms:modified xsi:type="dcterms:W3CDTF">2024-05-31T13:03:22Z</dcterms:modified>
</cp:coreProperties>
</file>