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65913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659130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20"/>
          </w:cols>
          <w:pgMar w:left="460" w:top="219" w:right="439" w:bottom="3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Burke Russell John</w:t>
              </w:r>
            </w:hyperlink>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Life360,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LIF</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Borders>
              <w:top w:val="single" w:sz="8" w:color="0000EE"/>
            </w:tcBorders>
          </w:tcPr>
          <w:p>
            <w:pPr>
              <w:spacing w:after="0"/>
              <w:rPr>
                <w:sz w:val="5"/>
                <w:szCs w:val="5"/>
                <w:color w:val="auto"/>
              </w:rPr>
            </w:pPr>
          </w:p>
        </w:tc>
        <w:tc>
          <w:tcPr>
            <w:tcW w:w="2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880" w:type="dxa"/>
            <w:vAlign w:val="bottom"/>
            <w:tcBorders>
              <w:top w:val="single" w:sz="8" w:color="0000EE"/>
              <w:bottom w:val="single" w:sz="8" w:color="9A9A9A"/>
            </w:tcBorders>
          </w:tcPr>
          <w:p>
            <w:pPr>
              <w:spacing w:after="0"/>
              <w:rPr>
                <w:sz w:val="16"/>
                <w:szCs w:val="16"/>
                <w:color w:val="auto"/>
              </w:rPr>
            </w:pPr>
          </w:p>
        </w:tc>
        <w:tc>
          <w:tcPr>
            <w:tcW w:w="40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880" w:type="dxa"/>
            <w:vAlign w:val="bottom"/>
            <w:tcBorders>
              <w:top w:val="single" w:sz="8" w:color="EEEEEE"/>
            </w:tcBorders>
          </w:tcPr>
          <w:p>
            <w:pPr>
              <w:spacing w:after="0"/>
              <w:rPr>
                <w:sz w:val="4"/>
                <w:szCs w:val="4"/>
                <w:color w:val="auto"/>
              </w:rPr>
            </w:pPr>
          </w:p>
        </w:tc>
        <w:tc>
          <w:tcPr>
            <w:tcW w:w="400" w:type="dxa"/>
            <w:vAlign w:val="bottom"/>
            <w:tcBorders>
              <w:top w:val="single" w:sz="8" w:color="EEEEEE"/>
            </w:tcBorders>
          </w:tcPr>
          <w:p>
            <w:pPr>
              <w:spacing w:after="0"/>
              <w:rPr>
                <w:sz w:val="4"/>
                <w:szCs w:val="4"/>
                <w:color w:val="auto"/>
              </w:rPr>
            </w:pPr>
          </w:p>
        </w:tc>
        <w:tc>
          <w:tcPr>
            <w:tcW w:w="158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6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LIFE360, INC.</w:t>
            </w:r>
          </w:p>
        </w:tc>
        <w:tc>
          <w:tcPr>
            <w:tcW w:w="1580" w:type="dxa"/>
            <w:vAlign w:val="bottom"/>
          </w:tcPr>
          <w:p>
            <w:pPr>
              <w:spacing w:after="0"/>
              <w:rPr>
                <w:sz w:val="19"/>
                <w:szCs w:val="19"/>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04/16/2026</w:t>
            </w: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2060" w:type="dxa"/>
            <w:vAlign w:val="bottom"/>
            <w:gridSpan w:val="3"/>
            <w:vMerge w:val="continue"/>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6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9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0"/>
          <w:szCs w:val="20"/>
          <w:color w:val="auto"/>
        </w:rPr>
      </w:pPr>
    </w:p>
    <w:p>
      <w:pPr>
        <w:sectPr>
          <w:pgSz w:w="11900" w:h="16838" w:orient="portrait"/>
          <w:cols w:equalWidth="0" w:num="2">
            <w:col w:w="7660" w:space="75"/>
            <w:col w:w="3265"/>
          </w:cols>
          <w:pgMar w:left="460" w:top="219" w:right="439" w:bottom="33"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60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20" w:type="dxa"/>
            <w:vAlign w:val="bottom"/>
            <w:gridSpan w:val="6"/>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gridSpan w:val="2"/>
          </w:tcPr>
          <w:p>
            <w:pPr>
              <w:ind w:left="380"/>
              <w:spacing w:after="0"/>
              <w:rPr>
                <w:sz w:val="20"/>
                <w:szCs w:val="20"/>
                <w:color w:val="auto"/>
              </w:rPr>
            </w:pPr>
            <w:r>
              <w:rPr>
                <w:rFonts w:ascii="Arial" w:cs="Arial" w:eastAsia="Arial" w:hAnsi="Arial"/>
                <w:sz w:val="13"/>
                <w:szCs w:val="13"/>
                <w:color w:val="auto"/>
              </w:rPr>
              <w:t>Line)</w:t>
            </w: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 MATEO</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94403</w:t>
            </w: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20" w:type="dxa"/>
            <w:vAlign w:val="bottom"/>
            <w:gridSpan w:val="4"/>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7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29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Borders>
              <w:bottom w:val="single" w:sz="8" w:color="9A9A9A"/>
            </w:tcBorders>
          </w:tcPr>
          <w:p>
            <w:pPr>
              <w:spacing w:after="0"/>
              <w:rPr>
                <w:sz w:val="6"/>
                <w:szCs w:val="6"/>
                <w:color w:val="auto"/>
              </w:rPr>
            </w:pPr>
          </w:p>
        </w:tc>
        <w:tc>
          <w:tcPr>
            <w:tcW w:w="76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20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8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60" w:type="dxa"/>
            <w:vAlign w:val="bottom"/>
            <w:vMerge w:val="restart"/>
          </w:tcPr>
          <w:p>
            <w:pPr>
              <w:ind w:left="100"/>
              <w:spacing w:after="0"/>
              <w:rPr>
                <w:sz w:val="20"/>
                <w:szCs w:val="20"/>
                <w:color w:val="auto"/>
              </w:rPr>
            </w:pPr>
            <w:r>
              <w:rPr>
                <w:rFonts w:ascii="Arial" w:cs="Arial" w:eastAsia="Arial" w:hAnsi="Arial"/>
                <w:sz w:val="13"/>
                <w:szCs w:val="13"/>
                <w:color w:val="auto"/>
              </w:rPr>
              <w:t>(State)</w:t>
            </w:r>
          </w:p>
        </w:tc>
        <w:tc>
          <w:tcPr>
            <w:tcW w:w="218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760" w:type="dxa"/>
            <w:vAlign w:val="bottom"/>
            <w:vMerge w:val="continue"/>
          </w:tcPr>
          <w:p>
            <w:pPr>
              <w:spacing w:after="0"/>
              <w:rPr>
                <w:sz w:val="19"/>
                <w:szCs w:val="19"/>
                <w:color w:val="auto"/>
              </w:rPr>
            </w:pPr>
          </w:p>
        </w:tc>
        <w:tc>
          <w:tcPr>
            <w:tcW w:w="218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2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4260" w:type="dxa"/>
            <w:vAlign w:val="bottom"/>
            <w:tcBorders>
              <w:bottom w:val="single" w:sz="8" w:color="2C2C2C"/>
            </w:tcBorders>
            <w:gridSpan w:val="6"/>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2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9"/>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180" w:type="dxa"/>
            <w:vAlign w:val="bottom"/>
            <w:gridSpan w:val="2"/>
          </w:tcPr>
          <w:p>
            <w:pPr>
              <w:ind w:left="1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180" w:type="dxa"/>
            <w:vAlign w:val="bottom"/>
            <w:gridSpan w:val="2"/>
          </w:tcPr>
          <w:p>
            <w:pPr>
              <w:ind w:left="11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1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4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2"/>
          </w:tcPr>
          <w:p>
            <w:pPr>
              <w:ind w:left="1220"/>
              <w:spacing w:after="0"/>
              <w:rPr>
                <w:sz w:val="20"/>
                <w:szCs w:val="20"/>
                <w:color w:val="auto"/>
              </w:rPr>
            </w:pPr>
            <w:r>
              <w:rPr>
                <w:rFonts w:ascii="Times New Roman" w:cs="Times New Roman" w:eastAsia="Times New Roman" w:hAnsi="Times New Roman"/>
                <w:sz w:val="17"/>
                <w:szCs w:val="17"/>
                <w:color w:val="0000FF"/>
              </w:rPr>
              <w:t>04/16/2026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2,193</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39.78</w:t>
            </w:r>
          </w:p>
        </w:tc>
        <w:tc>
          <w:tcPr>
            <w:tcW w:w="4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122,061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4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Russell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Burke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jc w:val="right"/>
              <w:ind w:right="214"/>
              <w:spacing w:after="0"/>
              <w:rPr>
                <w:sz w:val="20"/>
                <w:szCs w:val="20"/>
                <w:color w:val="auto"/>
              </w:rPr>
            </w:pPr>
            <w:r>
              <w:rPr>
                <w:rFonts w:ascii="Times New Roman" w:cs="Times New Roman" w:eastAsia="Times New Roman" w:hAnsi="Times New Roman"/>
                <w:sz w:val="17"/>
                <w:szCs w:val="17"/>
                <w:color w:val="0000FF"/>
              </w:rPr>
              <w:t>113,361</w:t>
            </w:r>
          </w:p>
        </w:tc>
        <w:tc>
          <w:tcPr>
            <w:tcW w:w="94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 &amp;</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Jeanette 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Calandra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Revocable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ELD as</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TIC</w:t>
            </w: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118,188 restricted stock units previously granted, each of which represents a contingent right to receive one share of the Issuer's common stock upon vesting.</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Allison Chang,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04/20/2026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3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33232" TargetMode="External"/><Relationship Id="rId14"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2026-04-20T17:02:26Z</dcterms:created>
  <dcterms:modified xsi:type="dcterms:W3CDTF">2026-04-20T17:02:26Z</dcterms:modified>
</cp:coreProperties>
</file>