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470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470265"/>
                    </a:xfrm>
                    <a:prstGeom prst="rect">
                      <a:avLst/>
                    </a:prstGeom>
                    <a:noFill/>
                  </pic:spPr>
                </pic:pic>
              </a:graphicData>
            </a:graphic>
          </wp:anchor>
        </w:drawing>
      </w:r>
    </w:p>
    <w:p>
      <w:pPr>
        <w:spacing w:after="0" w:line="1222" w:lineRule="exact"/>
        <w:rPr>
          <w:sz w:val="24"/>
          <w:szCs w:val="24"/>
          <w:color w:val="auto"/>
        </w:rPr>
      </w:pPr>
    </w:p>
    <w:p>
      <w:pPr>
        <w:sectPr>
          <w:pgSz w:w="11900" w:h="16840"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12/05/2025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0"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40"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12/05/2025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2,025</w:t>
            </w: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76.82</w:t>
            </w:r>
            <w:r>
              <w:rPr>
                <w:rFonts w:ascii="Times New Roman" w:cs="Times New Roman" w:eastAsia="Times New Roman" w:hAnsi="Times New Roman"/>
                <w:sz w:val="22"/>
                <w:szCs w:val="22"/>
                <w:color w:val="008000"/>
                <w:w w:val="95"/>
                <w:vertAlign w:val="superscript"/>
              </w:rPr>
              <w:t>(2)</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13,210</w:t>
            </w:r>
            <w:r>
              <w:rPr>
                <w:rFonts w:ascii="Times New Roman" w:cs="Times New Roman" w:eastAsia="Times New Roman" w:hAnsi="Times New Roman"/>
                <w:sz w:val="22"/>
                <w:szCs w:val="22"/>
                <w:color w:val="008000"/>
                <w:w w:val="97"/>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12/05/2025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1,100</w:t>
            </w: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77.96</w:t>
            </w:r>
            <w:r>
              <w:rPr>
                <w:rFonts w:ascii="Times New Roman" w:cs="Times New Roman" w:eastAsia="Times New Roman" w:hAnsi="Times New Roman"/>
                <w:sz w:val="22"/>
                <w:szCs w:val="22"/>
                <w:color w:val="008000"/>
                <w:w w:val="95"/>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12,110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12/09/2025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1"/>
                <w:szCs w:val="11"/>
                <w:color w:val="008000"/>
              </w:rPr>
              <w:t>(5)</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3,045</w:t>
            </w: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9,065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3,344</w:t>
            </w:r>
            <w:r>
              <w:rPr>
                <w:rFonts w:ascii="Times New Roman" w:cs="Times New Roman" w:eastAsia="Times New Roman" w:hAnsi="Times New Roman"/>
                <w:sz w:val="22"/>
                <w:szCs w:val="22"/>
                <w:color w:val="008000"/>
                <w:w w:val="93"/>
                <w:vertAlign w:val="superscript"/>
              </w:rPr>
              <w:t>(6)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97"/>
              </w:rPr>
              <w:t>55,494</w:t>
            </w:r>
            <w:r>
              <w:rPr>
                <w:rFonts w:ascii="Times New Roman" w:cs="Times New Roman" w:eastAsia="Times New Roman" w:hAnsi="Times New Roman"/>
                <w:sz w:val="22"/>
                <w:szCs w:val="22"/>
                <w:color w:val="008000"/>
                <w:w w:val="97"/>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ectPr>
          <w:pgSz w:w="11900" w:h="16840" w:orient="portrait"/>
          <w:cols w:equalWidth="0" w:num="1">
            <w:col w:w="1100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40" w:orient="portrait"/>
          <w:cols w:equalWidth="0" w:num="1">
            <w:col w:w="11000"/>
          </w:cols>
          <w:pgMar w:left="460" w:top="219" w:right="439" w:bottom="0" w:gutter="0" w:footer="0" w:header="0"/>
          <w:type w:val="continuous"/>
        </w:sectPr>
      </w:pPr>
    </w:p>
    <w:bookmarkStart w:id="1" w:name="page2"/>
    <w:bookmarkEnd w:id="1"/>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6, 2024.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$76.45 to $77.28,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3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3,045 shares indirectly held by The John Philip Coghlan 2025 Grantor Retained Annuity Trust to the John Coghlan Living Trust, and transferred 3,045 shares indirectly held by the John Coghlan Living Trust to The John Philip Coghlan 2025 Grantor Retained Annuity Trust, which transfers were exempt from Section 16 pursuant to Rule 16a-13 under the Securities Exchange Act of 1934, as amended.</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$77.52 to $78.41,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a bona fide gift of the Issuer's common stock to a donor-advised fund (DAF) for charitable purposes. The Reporting Person retains no beneficial ownership or control over the donated securities following the contribution.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1,672 restricted stock units, each of which represents a contingent right to receive one share of the Issuer's common stock upon vesting.</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12/09/2025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2025-12-09T19:55:07Z</dcterms:created>
  <dcterms:modified xsi:type="dcterms:W3CDTF">2025-12-09T19:55:07Z</dcterms:modified>
</cp:coreProperties>
</file>