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16"/>
        </w:rPr>
      </w:pPr>
      <w:r>
        <w:rPr>
          <w:rFonts w:ascii="Times New Roman;sans-serif" w:hAnsi="Times New Roman;sans-serif"/>
          <w:b/>
          <w:color w:val="000000"/>
          <w:sz w:val="16"/>
        </w:rPr>
        <w:t>As filed with the Securities and Exchange Commission on May 9, 2024</w:t>
      </w:r>
    </w:p>
    <w:p>
      <w:pPr>
        <w:pStyle w:val="TextBody"/>
        <w:bidi w:val="0"/>
        <w:spacing w:lineRule="auto" w:line="288" w:before="0" w:after="0"/>
        <w:jc w:val="right"/>
        <w:rPr>
          <w:rFonts w:ascii="Times New Roman;sans-serif" w:hAnsi="Times New Roman;sans-serif"/>
          <w:b/>
          <w:color w:val="000000"/>
          <w:sz w:val="16"/>
        </w:rPr>
      </w:pPr>
      <w:r>
        <w:rPr>
          <w:rFonts w:ascii="Times New Roman;sans-serif" w:hAnsi="Times New Roman;sans-serif"/>
          <w:b/>
          <w:color w:val="000000"/>
          <w:sz w:val="16"/>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7"/>
        </w:rPr>
      </w:pPr>
      <w:r>
        <w:rPr>
          <w:rFonts w:ascii="Times New Roman;sans-serif" w:hAnsi="Times New Roman;sans-serif"/>
          <w:b/>
          <w:color w:val="000000"/>
          <w:sz w:val="27"/>
        </w:rPr>
        <w:t xml:space="preserve">UNITED STATES </w:t>
      </w:r>
    </w:p>
    <w:p>
      <w:pPr>
        <w:pStyle w:val="TextBody"/>
        <w:bidi w:val="0"/>
        <w:spacing w:lineRule="auto" w:line="288" w:before="0" w:after="0"/>
        <w:jc w:val="center"/>
        <w:rPr>
          <w:rFonts w:ascii="Times New Roman;sans-serif" w:hAnsi="Times New Roman;sans-serif"/>
          <w:b/>
          <w:color w:val="000000"/>
          <w:sz w:val="27"/>
        </w:rPr>
      </w:pPr>
      <w:r>
        <w:rPr>
          <w:rFonts w:ascii="Times New Roman;sans-serif" w:hAnsi="Times New Roman;sans-serif"/>
          <w:b/>
          <w:color w:val="000000"/>
          <w:sz w:val="27"/>
        </w:rPr>
        <w:t>SECURITIES AND EXCHANGE COMMISSION</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WASHINGTON, D.C. 20549</w:t>
      </w:r>
    </w:p>
    <w:p>
      <w:pPr>
        <w:pStyle w:val="TextBody"/>
        <w:bidi w:val="0"/>
        <w:spacing w:lineRule="auto" w:line="288" w:before="0" w:after="0"/>
        <w:jc w:val="center"/>
        <w:rPr>
          <w:rFonts w:ascii="Times New Roman;sans-serif" w:hAnsi="Times New Roman;sans-serif"/>
          <w:b/>
          <w:color w:val="000000"/>
          <w:sz w:val="27"/>
        </w:rPr>
      </w:pPr>
      <w:r>
        <w:rPr>
          <w:rFonts w:ascii="Times New Roman;sans-serif" w:hAnsi="Times New Roman;sans-serif"/>
          <w:b/>
          <w:color w:val="000000"/>
          <w:sz w:val="27"/>
        </w:rPr>
        <w:t>FORM S-3</w:t>
      </w:r>
    </w:p>
    <w:p>
      <w:pPr>
        <w:pStyle w:val="TextBody"/>
        <w:bidi w:val="0"/>
        <w:spacing w:lineRule="auto" w:line="288" w:before="0" w:after="0"/>
        <w:jc w:val="center"/>
        <w:rPr>
          <w:rFonts w:ascii="Times New Roman;sans-serif" w:hAnsi="Times New Roman;sans-serif"/>
          <w:b/>
          <w:color w:val="000000"/>
          <w:sz w:val="27"/>
        </w:rPr>
      </w:pPr>
      <w:r>
        <w:rPr>
          <w:rFonts w:ascii="Times New Roman;sans-serif" w:hAnsi="Times New Roman;sans-serif"/>
          <w:b/>
          <w:color w:val="000000"/>
          <w:sz w:val="27"/>
        </w:rPr>
        <w:t xml:space="preserve">REGISTRATION STATEMENT </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 xml:space="preserve">UNDER </w:t>
      </w:r>
    </w:p>
    <w:p>
      <w:pPr>
        <w:pStyle w:val="TextBody"/>
        <w:bidi w:val="0"/>
        <w:spacing w:lineRule="auto" w:line="288" w:before="0" w:after="180"/>
        <w:jc w:val="center"/>
        <w:rPr>
          <w:rFonts w:ascii="Times New Roman;sans-serif" w:hAnsi="Times New Roman;sans-serif"/>
          <w:b/>
          <w:color w:val="000000"/>
          <w:sz w:val="15"/>
        </w:rPr>
      </w:pPr>
      <w:r>
        <w:rPr>
          <w:rFonts w:ascii="Times New Roman;sans-serif" w:hAnsi="Times New Roman;sans-serif"/>
          <w:b/>
          <w:color w:val="000000"/>
          <w:sz w:val="15"/>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Life360, Inc. </w:t>
      </w:r>
    </w:p>
    <w:p>
      <w:pPr>
        <w:pStyle w:val="TextBody"/>
        <w:bidi w:val="0"/>
        <w:spacing w:lineRule="auto" w:line="288" w:before="0" w:after="180"/>
        <w:jc w:val="center"/>
        <w:rPr>
          <w:rFonts w:ascii="Times New Roman;sans-serif" w:hAnsi="Times New Roman;sans-serif"/>
          <w:b w:val="false"/>
          <w:i/>
          <w:color w:val="000000"/>
          <w:sz w:val="15"/>
        </w:rPr>
      </w:pPr>
      <w:r>
        <w:rPr>
          <w:rFonts w:ascii="Times New Roman;sans-serif" w:hAnsi="Times New Roman;sans-serif"/>
          <w:b w:val="false"/>
          <w:i/>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539" w:type="dxa"/>
        <w:jc w:val="left"/>
        <w:tblInd w:w="0" w:type="dxa"/>
        <w:tblLayout w:type="fixed"/>
        <w:tblCellMar>
          <w:top w:w="28" w:type="dxa"/>
          <w:left w:w="28" w:type="dxa"/>
          <w:bottom w:w="28" w:type="dxa"/>
          <w:right w:w="28" w:type="dxa"/>
        </w:tblCellMar>
      </w:tblPr>
      <w:tblGrid>
        <w:gridCol w:w="726"/>
        <w:gridCol w:w="640"/>
        <w:gridCol w:w="644"/>
        <w:gridCol w:w="447"/>
        <w:gridCol w:w="447"/>
        <w:gridCol w:w="63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Delaware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26-0197666</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5"/>
              </w:rPr>
            </w:pPr>
            <w:r>
              <w:rPr>
                <w:rFonts w:ascii="Times New Roman;sans-serif" w:hAnsi="Times New Roman;sans-serif"/>
                <w:b w:val="false"/>
                <w:i/>
                <w:color w:val="000000"/>
                <w:sz w:val="15"/>
              </w:rPr>
              <w:t>(State or other jurisdiction of</w:t>
            </w:r>
          </w:p>
          <w:p>
            <w:pPr>
              <w:pStyle w:val="TableContents"/>
              <w:bidi w:val="0"/>
              <w:spacing w:lineRule="auto" w:line="240" w:before="0" w:after="0"/>
              <w:jc w:val="center"/>
              <w:rPr>
                <w:rFonts w:ascii="Times New Roman;sans-serif" w:hAnsi="Times New Roman;sans-serif"/>
                <w:b w:val="false"/>
                <w:i/>
                <w:color w:val="000000"/>
                <w:sz w:val="15"/>
              </w:rPr>
            </w:pPr>
            <w:r>
              <w:rPr>
                <w:rFonts w:ascii="Times New Roman;sans-serif" w:hAnsi="Times New Roman;sans-serif"/>
                <w:b w:val="false"/>
                <w:i/>
                <w:color w:val="000000"/>
                <w:sz w:val="15"/>
              </w:rPr>
              <w:t>incorporation or organization)</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15"/>
              </w:rPr>
            </w:pPr>
            <w:r>
              <w:rPr>
                <w:rFonts w:ascii="Times New Roman;sans-serif" w:hAnsi="Times New Roman;sans-serif"/>
                <w:b w:val="false"/>
                <w:i/>
                <w:color w:val="000000"/>
                <w:sz w:val="15"/>
              </w:rPr>
              <w:t>(I.R.S. Employer</w:t>
            </w:r>
          </w:p>
          <w:p>
            <w:pPr>
              <w:pStyle w:val="TableContents"/>
              <w:bidi w:val="0"/>
              <w:spacing w:lineRule="auto" w:line="240" w:before="0" w:after="0"/>
              <w:jc w:val="center"/>
              <w:rPr>
                <w:rFonts w:ascii="Times New Roman;sans-serif" w:hAnsi="Times New Roman;sans-serif"/>
                <w:b w:val="false"/>
                <w:i/>
                <w:color w:val="000000"/>
                <w:sz w:val="15"/>
              </w:rPr>
            </w:pPr>
            <w:r>
              <w:rPr>
                <w:rFonts w:ascii="Times New Roman;sans-serif" w:hAnsi="Times New Roman;sans-serif"/>
                <w:b w:val="false"/>
                <w:i/>
                <w:color w:val="000000"/>
                <w:sz w:val="15"/>
              </w:rPr>
              <w:t>Identification Number)</w:t>
            </w:r>
          </w:p>
        </w:tc>
      </w:tr>
    </w:tbl>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1900 South Norfolk Street</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Suite 310</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San Mateo, CA</w:t>
      </w:r>
    </w:p>
    <w:p>
      <w:pPr>
        <w:pStyle w:val="TextBody"/>
        <w:bidi w:val="0"/>
        <w:spacing w:lineRule="auto" w:line="288" w:before="0" w:after="180"/>
        <w:jc w:val="center"/>
        <w:rPr>
          <w:rFonts w:ascii="Times New Roman;sans-serif" w:hAnsi="Times New Roman;sans-serif"/>
          <w:b/>
          <w:color w:val="000000"/>
          <w:sz w:val="15"/>
        </w:rPr>
      </w:pPr>
      <w:r>
        <w:rPr>
          <w:rFonts w:ascii="Times New Roman;sans-serif" w:hAnsi="Times New Roman;sans-serif"/>
          <w:b/>
          <w:color w:val="000000"/>
          <w:sz w:val="15"/>
        </w:rPr>
        <w:t xml:space="preserve">(415) 484-5244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15"/>
        </w:rPr>
      </w:pPr>
      <w:r>
        <w:rPr>
          <w:rFonts w:ascii="Times New Roman;sans-serif" w:hAnsi="Times New Roman;sans-serif"/>
          <w:b w:val="false"/>
          <w:i/>
          <w:color w:val="000000"/>
          <w:sz w:val="15"/>
        </w:rPr>
        <w:t>(Address, including zip code, and telephone number, including area code, of registrant’s principal executive offices)</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Chris Hulls</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Chief Executive Officer</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Life360, Inc.</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1900 South Norfolk Street</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Suite 310</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San Mateo, CA</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 xml:space="preserve">(415) 484-5244 </w:t>
      </w:r>
    </w:p>
    <w:p>
      <w:pPr>
        <w:pStyle w:val="TextBody"/>
        <w:bidi w:val="0"/>
        <w:spacing w:lineRule="auto" w:line="288" w:before="0" w:after="180"/>
        <w:jc w:val="center"/>
        <w:rPr>
          <w:rFonts w:ascii="Times New Roman;sans-serif" w:hAnsi="Times New Roman;sans-serif"/>
          <w:b w:val="false"/>
          <w:i/>
          <w:color w:val="000000"/>
          <w:sz w:val="15"/>
        </w:rPr>
      </w:pPr>
      <w:r>
        <w:rPr>
          <w:rFonts w:ascii="Times New Roman;sans-serif" w:hAnsi="Times New Roman;sans-serif"/>
          <w:b w:val="false"/>
          <w:i/>
          <w:color w:val="000000"/>
          <w:sz w:val="15"/>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15"/>
        </w:rPr>
      </w:pPr>
      <w:r>
        <w:rPr>
          <w:rFonts w:ascii="Times New Roman;sans-serif" w:hAnsi="Times New Roman;sans-serif"/>
          <w:b/>
          <w:color w:val="000000"/>
          <w:sz w:val="15"/>
        </w:rPr>
        <w:t xml:space="preserve">Copies to: </w:t>
      </w:r>
    </w:p>
    <w:tbl>
      <w:tblPr>
        <w:tblW w:w="3644" w:type="dxa"/>
        <w:jc w:val="left"/>
        <w:tblInd w:w="0" w:type="dxa"/>
        <w:tblLayout w:type="fixed"/>
        <w:tblCellMar>
          <w:top w:w="28" w:type="dxa"/>
          <w:left w:w="28" w:type="dxa"/>
          <w:bottom w:w="28" w:type="dxa"/>
          <w:right w:w="28" w:type="dxa"/>
        </w:tblCellMar>
      </w:tblPr>
      <w:tblGrid>
        <w:gridCol w:w="657"/>
        <w:gridCol w:w="577"/>
        <w:gridCol w:w="580"/>
        <w:gridCol w:w="536"/>
        <w:gridCol w:w="536"/>
        <w:gridCol w:w="758"/>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C. Thomas Hopkins</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Siana Lowrey</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Natalie Y. Karam</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Dave Peinsipp</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Cooley LLP</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1333 2nd Street, Suite 400</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Santa Monica, CA 90401</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(310) 883-6400</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Susan Stick</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General Counsel</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Life360, Inc.</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1900 South Norfolk Street</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Suite 310</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San Mateo, CA</w:t>
            </w:r>
          </w:p>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(415) 484-5244</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color w:val="000000"/>
          <w:sz w:val="15"/>
        </w:rPr>
        <w:t>Approximate date of commencement of proposed sale to the public:</w:t>
      </w:r>
      <w:r>
        <w:rPr>
          <w:color w:val="000000"/>
        </w:rPr>
        <w:t xml:space="preserve"> </w:t>
      </w:r>
      <w:r>
        <w:rPr>
          <w:rFonts w:ascii="Times New Roman;sans-serif" w:hAnsi="Times New Roman;sans-serif"/>
          <w:b w:val="false"/>
          <w:color w:val="000000"/>
          <w:sz w:val="15"/>
        </w:rPr>
        <w:t>From time to time after the effective date of this Registration Statement.</w:t>
      </w:r>
    </w:p>
    <w:p>
      <w:pPr>
        <w:pStyle w:val="TextBody"/>
        <w:bidi w:val="0"/>
        <w:spacing w:lineRule="auto" w:line="288" w:before="0" w:after="120"/>
        <w:jc w:val="left"/>
        <w:rPr/>
      </w:pPr>
      <w:r>
        <w:rPr>
          <w:rFonts w:ascii="Times New Roman;sans-serif" w:hAnsi="Times New Roman;sans-serif"/>
          <w:b w:val="false"/>
          <w:color w:val="000000"/>
          <w:sz w:val="15"/>
        </w:rPr>
        <w:t xml:space="preserve">If the only securities being registered on this Form are being offered pursuant to dividend or interest reinvestment plans, please check the following box: </w:t>
      </w:r>
      <w:r>
        <w:rPr>
          <w:rFonts w:ascii="Wingdings;sans-serif" w:hAnsi="Wingdings;sans-serif"/>
          <w:b w:val="false"/>
          <w:color w:val="000000"/>
          <w:sz w:val="15"/>
        </w:rPr>
        <w:t>o</w:t>
      </w:r>
    </w:p>
    <w:p>
      <w:pPr>
        <w:pStyle w:val="TextBody"/>
        <w:bidi w:val="0"/>
        <w:spacing w:lineRule="auto" w:line="288" w:before="0" w:after="120"/>
        <w:jc w:val="left"/>
        <w:rPr/>
      </w:pPr>
      <w:r>
        <w:rPr>
          <w:rFonts w:ascii="Times New Roman;sans-serif" w:hAnsi="Times New Roman;sans-serif"/>
          <w:b w:val="false"/>
          <w:color w:val="000000"/>
          <w:sz w:val="15"/>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color w:val="000000"/>
        </w:rPr>
        <w:t>☒</w:t>
      </w:r>
    </w:p>
    <w:p>
      <w:pPr>
        <w:pStyle w:val="TextBody"/>
        <w:bidi w:val="0"/>
        <w:spacing w:lineRule="auto" w:line="288" w:before="0" w:after="120"/>
        <w:jc w:val="left"/>
        <w:rPr/>
      </w:pPr>
      <w:r>
        <w:rPr>
          <w:rFonts w:ascii="Times New Roman;sans-serif" w:hAnsi="Times New Roman;sans-serif"/>
          <w:b w:val="false"/>
          <w:color w:val="000000"/>
          <w:sz w:val="15"/>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sans-serif" w:hAnsi="Wingdings;sans-serif"/>
          <w:b w:val="false"/>
          <w:color w:val="000000"/>
          <w:sz w:val="15"/>
        </w:rPr>
        <w:t>o</w:t>
      </w:r>
    </w:p>
    <w:p>
      <w:pPr>
        <w:pStyle w:val="TextBody"/>
        <w:bidi w:val="0"/>
        <w:spacing w:lineRule="auto" w:line="288" w:before="0" w:after="120"/>
        <w:jc w:val="left"/>
        <w:rPr/>
      </w:pPr>
      <w:r>
        <w:rPr>
          <w:rFonts w:ascii="Times New Roman;sans-serif" w:hAnsi="Times New Roman;sans-serif"/>
          <w:b w:val="false"/>
          <w:color w:val="000000"/>
          <w:sz w:val="15"/>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15"/>
        </w:rPr>
        <w:t>o</w:t>
      </w:r>
    </w:p>
    <w:p>
      <w:pPr>
        <w:pStyle w:val="TextBody"/>
        <w:bidi w:val="0"/>
        <w:spacing w:lineRule="auto" w:line="288" w:before="0" w:after="120"/>
        <w:jc w:val="left"/>
        <w:rPr>
          <w:rFonts w:ascii="Times New Roman;sans-serif" w:hAnsi="Times New Roman;sans-serif"/>
          <w:b w:val="false"/>
          <w:color w:val="000000"/>
          <w:sz w:val="15"/>
        </w:rPr>
      </w:pPr>
      <w:r>
        <w:rPr>
          <w:rFonts w:ascii="Times New Roman;sans-serif" w:hAnsi="Times New Roman;sans-serif"/>
          <w:b w:val="false"/>
          <w:color w:val="000000"/>
          <w:sz w:val="15"/>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120"/>
        <w:jc w:val="left"/>
        <w:rPr/>
      </w:pPr>
      <w:r>
        <w:rPr>
          <w:rFonts w:ascii="Times New Roman;sans-serif" w:hAnsi="Times New Roman;sans-serif"/>
          <w:b w:val="false"/>
          <w:color w:val="000000"/>
          <w:sz w:val="15"/>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sans-serif" w:hAnsi="Wingdings;sans-serif"/>
          <w:b w:val="false"/>
          <w:color w:val="000000"/>
          <w:sz w:val="15"/>
        </w:rPr>
        <w:t>o</w:t>
      </w:r>
    </w:p>
    <w:p>
      <w:pPr>
        <w:pStyle w:val="TextBody"/>
        <w:bidi w:val="0"/>
        <w:spacing w:lineRule="auto" w:line="288" w:before="0" w:after="180"/>
        <w:jc w:val="left"/>
        <w:rPr>
          <w:rFonts w:ascii="Times New Roman;sans-serif" w:hAnsi="Times New Roman;sans-serif"/>
          <w:b w:val="false"/>
          <w:color w:val="000000"/>
          <w:sz w:val="15"/>
        </w:rPr>
      </w:pPr>
      <w:r>
        <w:rPr>
          <w:rFonts w:ascii="Times New Roman;sans-serif" w:hAnsi="Times New Roman;sans-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278" w:type="dxa"/>
        <w:jc w:val="left"/>
        <w:tblInd w:w="0" w:type="dxa"/>
        <w:tblLayout w:type="fixed"/>
        <w:tblCellMar>
          <w:top w:w="28" w:type="dxa"/>
          <w:left w:w="28" w:type="dxa"/>
          <w:bottom w:w="28" w:type="dxa"/>
          <w:right w:w="28" w:type="dxa"/>
        </w:tblCellMar>
      </w:tblPr>
      <w:tblGrid>
        <w:gridCol w:w="576"/>
        <w:gridCol w:w="506"/>
        <w:gridCol w:w="508"/>
        <w:gridCol w:w="109"/>
        <w:gridCol w:w="109"/>
        <w:gridCol w:w="109"/>
        <w:gridCol w:w="414"/>
        <w:gridCol w:w="414"/>
        <w:gridCol w:w="416"/>
        <w:gridCol w:w="109"/>
        <w:gridCol w:w="109"/>
        <w:gridCol w:w="109"/>
        <w:gridCol w:w="499"/>
        <w:gridCol w:w="499"/>
        <w:gridCol w:w="501"/>
        <w:gridCol w:w="109"/>
        <w:gridCol w:w="109"/>
        <w:gridCol w:w="109"/>
        <w:gridCol w:w="574"/>
        <w:gridCol w:w="574"/>
        <w:gridCol w:w="816"/>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Large 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Smaller reporting company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Emerging growth company ☐</w:t>
            </w:r>
          </w:p>
        </w:tc>
      </w:tr>
    </w:tbl>
    <w:p>
      <w:pPr>
        <w:pStyle w:val="TextBody"/>
        <w:bidi w:val="0"/>
        <w:spacing w:lineRule="auto" w:line="288" w:before="0" w:after="180"/>
        <w:jc w:val="left"/>
        <w:rPr/>
      </w:pPr>
      <w:r>
        <w:rPr>
          <w:rFonts w:ascii="Times New Roman;sans-serif" w:hAnsi="Times New Roman;sans-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15"/>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80"/>
                              <w:ind w:left="0" w:right="0" w:firstLine="36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both"/>
                        <w:rPr>
                          <w:color w:val="000000"/>
                        </w:rPr>
                      </w:pPr>
                      <w:r>
                        <w:rPr>
                          <w:color w:val="000000"/>
                        </w:rPr>
                        <w:t>    </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before="0" w:after="180"/>
        <w:jc w:val="center"/>
        <w:rPr/>
      </w:pPr>
      <w:r>
        <w:rPr/>
        <w:drawing>
          <wp:inline distT="0" distB="0" distL="0" distR="0">
            <wp:extent cx="2743200" cy="8286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43200" cy="8286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Common Stock</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Preferred Stock</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Debt Securities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or selling securityholders may offer and sell any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 Our ability to offer and sell preferred stock is contingent upon satisfaction of certain conditions, including receiving stockholder approval, as described in the section titled “Description of Capital Stock.”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provide the specific terms of these offerings and securities in one or more supplements to this prospectus. We may also authorize one or more free writing prospectuses to be provided to you in connection with these offerings. In addition, in connection with certain offers and sales of securities by the selling securityholders, we and the selling securityholders will provide, if applicable, a prospectus supplement to this prospectus containing specific information about the offering by the selling securityholders and the amounts, prices and terms of the securities being offered.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this offering, there has been no public market for our common stock in the United States. Our common stock trades on the Australian Securities Exchange (the “ASX”) under the symbol “360” in the form of CHESS Depositary Interests (“CDIs”). CDIs are units of beneficial ownership in shares of our common stock that are held in trust for CDI holders by CHESS Depositary Nominees Pty Limited (“CDN”), a subsidiary of ASX Limited, the company that operates the ASX. The CDIs entitle holders to dividends, if any, and other rights equivalent to shares of our common stock on a 3 CDIs-for-1 share of common stock basis. The last reported sale price of our CDIs on the ASX on May 9, 2024 (Australian Eastern Standard Time) was A$15.50 per CDI (equivalent to $30.76 per share of common stock, using an exchange rate of 0.6616 to convert Australian dollars to U.S. dollars as of May 3, 2024, as announced by the Federal Reserve). The applicable prospectus supplement will contain information, where applicable, as to other listings, if any, on any other securities exchange of the securities covered by the applicable prospectus supplement.</w:t>
      </w:r>
    </w:p>
    <w:p>
      <w:pPr>
        <w:pStyle w:val="TextBody"/>
        <w:bidi w:val="0"/>
        <w:spacing w:lineRule="auto" w:line="288" w:before="120" w:after="180"/>
        <w:ind w:left="0" w:right="0" w:firstLine="360"/>
        <w:jc w:val="left"/>
        <w:rPr/>
      </w:pPr>
      <w:r>
        <w:rPr>
          <w:rFonts w:ascii="Times New Roman;sans-serif" w:hAnsi="Times New Roman;sans-serif"/>
          <w:b/>
          <w:i/>
          <w:color w:val="000000"/>
          <w:sz w:val="20"/>
        </w:rPr>
        <w:t>Investing in our securities involves a high degree of risk. Before making an investment decision, you should review carefully the risks and uncertainties described under the heading “</w:t>
      </w:r>
      <w:hyperlink w:anchor="i0d8f47588ab34ea6b7bfc195f639a32a_624">
        <w:r>
          <w:rPr>
            <w:rStyle w:val="InternetLink"/>
            <w:rFonts w:ascii="Times New Roman;sans-serif" w:hAnsi="Times New Roman;sans-serif"/>
            <w:b/>
            <w:i/>
            <w:color w:val="0000FF"/>
            <w:sz w:val="20"/>
            <w:u w:val="single"/>
          </w:rPr>
          <w:t>Risk Factors</w:t>
        </w:r>
      </w:hyperlink>
      <w:r>
        <w:rPr>
          <w:color w:val="000000"/>
        </w:rPr>
        <w:t xml:space="preserve">” </w:t>
      </w:r>
      <w:r>
        <w:rPr>
          <w:rFonts w:ascii="Times New Roman;sans-serif" w:hAnsi="Times New Roman;sans-serif"/>
          <w:b/>
          <w:i/>
          <w:color w:val="000000"/>
          <w:sz w:val="20"/>
        </w:rPr>
        <w:t xml:space="preserve">included in, or incorporated by reference into, this prospectus on page </w:t>
      </w:r>
      <w:hyperlink w:anchor="i0d8f47588ab34ea6b7bfc195f639a32a_624">
        <w:r>
          <w:rPr>
            <w:rStyle w:val="InternetLink"/>
            <w:rFonts w:ascii="Times New Roman;sans-serif" w:hAnsi="Times New Roman;sans-serif"/>
            <w:b/>
            <w:i/>
            <w:color w:val="0000FF"/>
            <w:sz w:val="20"/>
            <w:u w:val="single"/>
          </w:rPr>
          <w:t>25</w:t>
        </w:r>
      </w:hyperlink>
      <w:r>
        <w:rPr>
          <w:color w:val="000000"/>
        </w:rPr>
        <w:t xml:space="preserve"> </w:t>
      </w:r>
      <w:r>
        <w:rPr>
          <w:rFonts w:ascii="Times New Roman;sans-serif" w:hAnsi="Times New Roman;sans-serif"/>
          <w:b/>
          <w:i/>
          <w:color w:val="000000"/>
          <w:sz w:val="20"/>
        </w:rPr>
        <w:t>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accompanied by a prospectus supplement.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is May 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361" w:type="dxa"/>
        <w:jc w:val="left"/>
        <w:tblInd w:w="0" w:type="dxa"/>
        <w:tblLayout w:type="fixed"/>
        <w:tblCellMar>
          <w:top w:w="28" w:type="dxa"/>
          <w:left w:w="28" w:type="dxa"/>
          <w:bottom w:w="28" w:type="dxa"/>
          <w:right w:w="28" w:type="dxa"/>
        </w:tblCellMar>
      </w:tblPr>
      <w:tblGrid>
        <w:gridCol w:w="2118"/>
        <w:gridCol w:w="1861"/>
        <w:gridCol w:w="1871"/>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07">
              <w:r>
                <w:rPr>
                  <w:rStyle w:val="InternetLink"/>
                  <w:rFonts w:ascii="Times New Roman;sans-serif" w:hAnsi="Times New Roman;sans-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0d8f47588ab34ea6b7bfc195f639a32a_107">
              <w:r>
                <w:rPr>
                  <w:rStyle w:val="InternetLink"/>
                  <w:rFonts w:ascii="Times New Roman;sans-serif" w:hAnsi="Times New Roman;sans-serif"/>
                  <w:b w:val="false"/>
                  <w:color w:val="0000FF"/>
                  <w:sz w:val="20"/>
                  <w:u w:val="single"/>
                </w:rPr>
                <w:t>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20">
              <w:r>
                <w:rPr>
                  <w:rStyle w:val="InternetLink"/>
                  <w:rFonts w:ascii="Times New Roman;sans-serif" w:hAnsi="Times New Roman;sans-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20">
              <w:r>
                <w:rPr>
                  <w:rStyle w:val="InternetLink"/>
                  <w:rFonts w:ascii="Times New Roman;sans-serif" w:hAnsi="Times New Roman;sans-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624">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624">
              <w:r>
                <w:rPr>
                  <w:rStyle w:val="InternetLink"/>
                  <w:rFonts w:ascii="Times New Roman;sans-serif" w:hAnsi="Times New Roman;sans-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46">
              <w:r>
                <w:rPr>
                  <w:rStyle w:val="InternetLink"/>
                  <w:rFonts w:ascii="Times New Roman;sans-serif" w:hAnsi="Times New Roman;sans-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46">
              <w:r>
                <w:rPr>
                  <w:rStyle w:val="InternetLink"/>
                  <w:rFonts w:ascii="Times New Roman;sans-serif" w:hAnsi="Times New Roman;sans-serif"/>
                  <w:b w:val="false"/>
                  <w:color w:val="0000FF"/>
                  <w:sz w:val="20"/>
                  <w:u w:val="single"/>
                </w:rPr>
                <w:t>26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59">
              <w:r>
                <w:rPr>
                  <w:rStyle w:val="InternetLink"/>
                  <w:rFonts w:ascii="Times New Roman;sans-serif" w:hAnsi="Times New Roman;sans-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59">
              <w:r>
                <w:rPr>
                  <w:rStyle w:val="InternetLink"/>
                  <w:rFonts w:ascii="Times New Roman;sans-serif" w:hAnsi="Times New Roman;sans-serif"/>
                  <w:b w:val="false"/>
                  <w:color w:val="0000FF"/>
                  <w:sz w:val="20"/>
                  <w:u w:val="single"/>
                </w:rPr>
                <w:t>28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72">
              <w:r>
                <w:rPr>
                  <w:rStyle w:val="InternetLink"/>
                  <w:rFonts w:ascii="Times New Roman;sans-serif" w:hAnsi="Times New Roman;sans-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72">
              <w:r>
                <w:rPr>
                  <w:rStyle w:val="InternetLink"/>
                  <w:rFonts w:ascii="Times New Roman;sans-serif" w:hAnsi="Times New Roman;sans-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85">
              <w:r>
                <w:rPr>
                  <w:rStyle w:val="InternetLink"/>
                  <w:rFonts w:ascii="Times New Roman;sans-serif" w:hAnsi="Times New Roman;sans-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85">
              <w:r>
                <w:rPr>
                  <w:rStyle w:val="InternetLink"/>
                  <w:rFonts w:ascii="Times New Roman;sans-serif" w:hAnsi="Times New Roman;sans-serif"/>
                  <w:b w:val="false"/>
                  <w:color w:val="0000FF"/>
                  <w:sz w:val="20"/>
                  <w:u w:val="single"/>
                </w:rPr>
                <w:t>34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198">
              <w:r>
                <w:rPr>
                  <w:rStyle w:val="InternetLink"/>
                  <w:rFonts w:ascii="Times New Roman;sans-serif" w:hAnsi="Times New Roman;sans-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198">
              <w:r>
                <w:rPr>
                  <w:rStyle w:val="InternetLink"/>
                  <w:rFonts w:ascii="Times New Roman;sans-serif" w:hAnsi="Times New Roman;sans-serif"/>
                  <w:b w:val="false"/>
                  <w:color w:val="0000FF"/>
                  <w:sz w:val="20"/>
                  <w:u w:val="single"/>
                </w:rPr>
                <w:t>41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11">
              <w:r>
                <w:rPr>
                  <w:rStyle w:val="InternetLink"/>
                  <w:rFonts w:ascii="Times New Roman;sans-serif" w:hAnsi="Times New Roman;sans-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11">
              <w:r>
                <w:rPr>
                  <w:rStyle w:val="InternetLink"/>
                  <w:rFonts w:ascii="Times New Roman;sans-serif" w:hAnsi="Times New Roman;sans-serif"/>
                  <w:b w:val="false"/>
                  <w:color w:val="0000FF"/>
                  <w:sz w:val="20"/>
                  <w:u w:val="single"/>
                </w:rPr>
                <w:t>43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24">
              <w:r>
                <w:rPr>
                  <w:rStyle w:val="InternetLink"/>
                  <w:rFonts w:ascii="Times New Roman;sans-serif" w:hAnsi="Times New Roman;sans-serif"/>
                  <w:b w:val="false"/>
                  <w:color w:val="0000FF"/>
                  <w:sz w:val="20"/>
                  <w:u w:val="single"/>
                </w:rPr>
                <w:t>SELLING SECURITYHOLDERS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24">
              <w:r>
                <w:rPr>
                  <w:rStyle w:val="InternetLink"/>
                  <w:rFonts w:ascii="Times New Roman;sans-serif" w:hAnsi="Times New Roman;sans-serif"/>
                  <w:b w:val="false"/>
                  <w:color w:val="0000FF"/>
                  <w:sz w:val="20"/>
                  <w:u w:val="single"/>
                </w:rPr>
                <w:t>46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37">
              <w:r>
                <w:rPr>
                  <w:rStyle w:val="InternetLink"/>
                  <w:rFonts w:ascii="Times New Roman;sans-serif" w:hAnsi="Times New Roman;sans-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37">
              <w:r>
                <w:rPr>
                  <w:rStyle w:val="InternetLink"/>
                  <w:rFonts w:ascii="Times New Roman;sans-serif" w:hAnsi="Times New Roman;sans-serif"/>
                  <w:b w:val="false"/>
                  <w:color w:val="0000FF"/>
                  <w:sz w:val="20"/>
                  <w:u w:val="single"/>
                </w:rPr>
                <w:t>47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50">
              <w:r>
                <w:rPr>
                  <w:rStyle w:val="InternetLink"/>
                  <w:rFonts w:ascii="Times New Roman;sans-serif" w:hAnsi="Times New Roman;sans-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50">
              <w:r>
                <w:rPr>
                  <w:rStyle w:val="InternetLink"/>
                  <w:rFonts w:ascii="Times New Roman;sans-serif" w:hAnsi="Times New Roman;sans-serif"/>
                  <w:b w:val="false"/>
                  <w:color w:val="0000FF"/>
                  <w:sz w:val="20"/>
                  <w:u w:val="single"/>
                </w:rPr>
                <w:t>49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63">
              <w:r>
                <w:rPr>
                  <w:rStyle w:val="InternetLink"/>
                  <w:rFonts w:ascii="Times New Roman;sans-serif" w:hAnsi="Times New Roman;sans-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63">
              <w:r>
                <w:rPr>
                  <w:rStyle w:val="InternetLink"/>
                  <w:rFonts w:ascii="Times New Roman;sans-serif" w:hAnsi="Times New Roman;sans-serif"/>
                  <w:b w:val="false"/>
                  <w:color w:val="0000FF"/>
                  <w:sz w:val="20"/>
                  <w:u w:val="single"/>
                </w:rPr>
                <w:t>49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77">
              <w:r>
                <w:rPr>
                  <w:rStyle w:val="InternetLink"/>
                  <w:rFonts w:ascii="Times New Roman;sans-serif" w:hAnsi="Times New Roman;sans-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77">
              <w:r>
                <w:rPr>
                  <w:rStyle w:val="InternetLink"/>
                  <w:rFonts w:ascii="Times New Roman;sans-serif" w:hAnsi="Times New Roman;sans-serif"/>
                  <w:b w:val="false"/>
                  <w:color w:val="0000FF"/>
                  <w:sz w:val="20"/>
                  <w:u w:val="single"/>
                </w:rPr>
                <w:t>49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d8f47588ab34ea6b7bfc195f639a32a_290">
              <w:r>
                <w:rPr>
                  <w:rStyle w:val="InternetLink"/>
                  <w:rFonts w:ascii="Times New Roman;sans-serif" w:hAnsi="Times New Roman;sans-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8f47588ab34ea6b7bfc195f639a32a_290">
              <w:r>
                <w:rPr>
                  <w:rStyle w:val="InternetLink"/>
                  <w:rFonts w:ascii="Times New Roman;sans-serif" w:hAnsi="Times New Roman;sans-serif"/>
                  <w:b w:val="false"/>
                  <w:color w:val="0000FF"/>
                  <w:sz w:val="20"/>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this prospectus supplement, unless the context suggests otherwise, the terms:</w:t>
      </w:r>
    </w:p>
    <w:p>
      <w:pPr>
        <w:pStyle w:val="TextBody"/>
        <w:bidi w:val="0"/>
        <w:spacing w:lineRule="auto" w:line="288" w:before="0" w:after="180"/>
        <w:ind w:left="0" w:right="0" w:firstLine="360"/>
        <w:jc w:val="both"/>
        <w:rPr/>
      </w:pPr>
      <w:r>
        <w:rPr>
          <w:color w:val="000000"/>
        </w:rPr>
        <w:t>•</w:t>
      </w:r>
      <w:r>
        <w:rPr>
          <w:color w:val="000000"/>
        </w:rPr>
        <w:t>“</w:t>
      </w:r>
      <w:r>
        <w:rPr>
          <w:rFonts w:ascii="Times New Roman;sans-serif" w:hAnsi="Times New Roman;sans-serif"/>
          <w:b w:val="false"/>
          <w:color w:val="000000"/>
          <w:sz w:val="20"/>
        </w:rPr>
        <w:t xml:space="preserve">we,” “us,” “Life360” and “Company” refer to Life360, Inc., a Delaware corporation, and its subsidiaries;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 or “USD” refers to U.S. Dollar;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or “AUD” refers to Australian Dollar;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active user” refers to a member who opens the Life360 app after completing their registration;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ANZ” refers, collectively, to Australia and New Zealand;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ARPPC” refers to Average Revenue per Paying Circle. See “Summary Selected Condensed Consolidated Financial and Other Data” for more information on our key performance indicators, including how we define these metrics;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ARPPS” refers to Average Revenue per Paying Subscription. See “Summary Selected Condensed Consolidated Financial and Other Data” for more information on our key performance indicators, including how we define these metrics;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ASX” refers to ASX Limited (ABN: 98 008 624 691) or the financial market known as the Australian Securities Exchange operated by it (as appropriate);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Board” refers to the board of directors of Life360, Inc.;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Bylaws” refers to the amended and restated bylaws of Life360, Inc.;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CAGR” refers to compound annual growth 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CDIs” refers to CHESS Depositary Interests;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CDN” refers to CHESS Depositary Nominees Pty Limited;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Certificate of Incorporation” refers to the amended and restated certificate of incorporation of Life360, Inc.;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CHESS” refers to the Clearing House Electronic Subregister System;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Circles” refers to private groups created by members on the Life360 Platform, which allow members to stay connected to other members in the Circle with Circle-specific features such as location sharing, messaging and check-ins;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DAUs” refers to daily active users;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DGCL” refers to the Delaware General Corporation Law;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Exchange Act” refers to the Securities Exchange Act of 1934, as amended;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GAAP” refers to generally accepted accounting principles in the United States;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Hubble” refers to Hubble Network, Inc.;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Jiobit” refers to Jio, Inc., a Delaware corporation and a wholly-owned subsidiary of Life360, Inc.;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Life360 Platform” refers to the suite of Life360 offerings of products and services including the Life360 mobile application and related third-party services but excluding Tile and Jiobit offerings;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Life360 Service” refers to the suite of Life360 offerings of products and services including the Life360, Tile and Jiobit mobile applications and related third-party services;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MAUs” refers to monthly active users of the Life360 Platform;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members” refers to the users of the applicable Life360 Service;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Nasdaq” refers to The Nasdaq Global Select Market;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OID” refers to original issue discount;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Paying Circles” refers to the Circles covered by a subscription. See “Summary Selected Condensed Consolidated Financial and Other Data” for more information on our key performance indicators, including how we define these metrics;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SEC” refers to the U.S. Securities and Exchange Commission;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Securities Act” refers to the Securities Act of 1933, as amended;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stockholders” refers to the holders of beneficial interest of shares of our common stock, including all shares of our common stock underlying our CDIs;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subscriber” refers to a person who has purchased a subscription to any Life360 Service;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subscription” refers to a paid subscription to any Life360 Service;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TAM” refers to global total addressable market;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Tile” refers to Tile, Inc., a Delaware corporation and wholly-owned subsidiary of Life360,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an automatic registration statement on Form S-3 that we filed with the SEC, using a “shelf” registration process as a “well-known seasoned issuer” as defined in Rule 405 under the Securities Act. Under this shelf registration statement, we or selling securityholders may, from time to time, offer and sell, either individually or in combination, in one or more offerings, any of the securities described in this prospectus. There is no limit on the aggregate amount of the securities that we or selling securityholders may offer pursuant to the registration statement of which this prospectus is a part.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it is accompanied by a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securityholders have authorized anyone to provide you with different or additional information. We and the selling securityholders take no responsibility for, and can provide no assurance as to the reliability of, any other information that others may give you.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prospectus, the terms “Life360,” “Company,” “we,” “us” and “our” refer to Life360, Inc.,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ind w:left="0" w:right="0" w:firstLine="36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related notes, and the exhibits to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Overview</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three membership subscription options that are available but not required.</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acquired Jiobit and Tile in September 2021 and January 2022, respectively, to create a comprehensive platform-agnostic location tracking solution for people, pets and things. Jiobit is a leading wearable location device for young children, pets and seniors and Tile is a leading product suite of location trackers for finding objects.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suite of product and service offerings, including the Life360 and Tile mobile applications, and related third-party services, is system and platform-agnostic, allowing our products and services to work seamlessly for our members, regardless of the devices they use. As of March 31, 2024, we had approximately 66.4 million MAUs and 1.9 million global Paying Circles on the Life360 Platform, representing a year-over-year increase of 31%, and 21%, respectively.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revenue is primarily generated from the sale of subscriptions and hardware tracking devices used to access our services across our two major brands, Life360 and Tile. In addition, a portion of our revenue is generated indirectly from the sale of aggregated data (non-personally identifiable information) for the purposes of data insights from our member base to our partners and from the sale of third-party products and services, including through the placement of ads within our platform.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For the years ended December 31, 2023, 2022, and 2021, we generated: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revenue of $304.5 million, $228.3 million, and $112.6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Subscription revenue of $220.8 million, $153.3 million, and $86.6 million, respectively;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Hardware revenue of $58.2 million, $47.9 million, and $1.0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Other revenue of $25.5 million, $27.1 million, and $25.1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of $28.2 million, $91.6 million, and $33.6 million, respectively;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Adjusted EBITDA of $20.6 million, $(40.1) million, and $(13.1) million, respectively.</w:t>
      </w:r>
      <w:r>
        <w:rPr>
          <w:rFonts w:ascii="Times New Roman;sans-serif" w:hAnsi="Times New Roman;sans-serif"/>
          <w:b w:val="false"/>
          <w:color w:val="000000"/>
          <w:sz w:val="13"/>
        </w:rPr>
        <w:t>1</w:t>
      </w:r>
    </w:p>
    <w:p>
      <w:pPr>
        <w:pStyle w:val="TextBody"/>
        <w:bidi w:val="0"/>
        <w:spacing w:lineRule="auto" w:line="288"/>
        <w:ind w:left="0" w:right="0" w:hanging="36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See “Summary Selected Condensed Consolidated Financial and Other Data—Non-GAAP Financial Information” for a reconciliation to net loss.</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bdr w:val="single" w:sz="8" w:space="36" w:color="000000"/>
        </w:rPr>
      </w:pPr>
      <w:r>
        <w:rPr>
          <w:bdr w:val="single" w:sz="8" w:space="36" w:color="000000"/>
        </w:rPr>
        <w:drawing>
          <wp:inline distT="0" distB="0" distL="0" distR="0">
            <wp:extent cx="5943600" cy="29051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943600" cy="290512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________________</w:t>
      </w:r>
    </w:p>
    <w:p>
      <w:pPr>
        <w:pStyle w:val="TextBody"/>
        <w:bidi w:val="0"/>
        <w:spacing w:lineRule="auto" w:line="288" w:before="0" w:after="180"/>
        <w:jc w:val="left"/>
        <w:rPr>
          <w:rFonts w:ascii="Times New Roman;sans-serif" w:hAnsi="Times New Roman;sans-serif"/>
          <w:b w:val="false"/>
          <w:i/>
          <w:color w:val="000000"/>
          <w:sz w:val="16"/>
          <w:bdr w:val="single" w:sz="8" w:space="36" w:color="000000"/>
        </w:rPr>
      </w:pPr>
      <w:r>
        <w:rPr>
          <w:rFonts w:ascii="Times New Roman;sans-serif" w:hAnsi="Times New Roman;sans-serif"/>
          <w:b w:val="false"/>
          <w:i/>
          <w:color w:val="000000"/>
          <w:sz w:val="16"/>
          <w:bdr w:val="single" w:sz="8" w:space="36" w:color="000000"/>
        </w:rPr>
        <w:t xml:space="preserve">Note: As of March 31, 2024 unless otherwise stated. 1. Available in 133 countries through Google Play Store. 2. Based on approximately 38.8 million U.S. MAUs compared to the total U.S. population adjusted for smartphone penetration. 3. By Daily Active Users on the Apple App Store in the U.S. as of March 2024. 4. In full-year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Life360 Platform</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currently offer four key product features that make up the Life360 Platform: (i) location coordination and safety, (ii) driving safety, (iii) 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 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Hardware Products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hardware products under the Tile brand seamlessly integrate with the Life360 Platform. The Tile bluetooth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in various shapes, sizes and price points for different use cases. The Tile mobile application offers a free service as well as two paid subscription options: Premium and Premium Protect, which offer additional services such as warranties and item reimbursement.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Jiobit product line, which we intend to rebrand to align with the Tile brand, offers wearable location devices for young children, pets, and seniors. Currently, it is offered exclusively in the U.S. via online retailers. Customers purchase a GPS enabled device and a monthly subscription to access location tracking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Our Technology Platform</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We have signed a non-binding letter of intent (“LOI”) with Hubble, a global satellite network designed for any bluetooth-enabled device to connect to, regarding a potential partnership that will expand our location tracking capabilities. Life360 and Hubble aim to build a global finder network, enabling partners to develop bluetooth finding devices capable of continuous global location sharing, independent of cellular connectivity. If integrated, this initiative would connect Life360’s extensive network of smartphones with Hubble’s satellite connectivity to form a unique network that locates devices from both space, using the Hubble constellation, and on the ground, via Life360’s widely used app.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Our Market Opportunity</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market leader in family safety, connecting millions of people globally through software and hardware to the people, pets and things they care most about. We offer a range of services including location sharing, safe driver reports, and crash detection with emergency dispatch. The widespread proliferation and continued growth of connected devices has led to a normalization of location sharing for a wide range of consumer applications such as item tracking, communication, social coordination or travel. From December 2018 through March 2024, the global location sharing app market alone has grown at a 22% CAGR, according to Data.ai. With our location-based technology as an anchor and our holistic approach to create the most trusted family connectivity and safety brand, we believe we can directly address multiple large, global market opportunities across our core and emerging offerings: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 xml:space="preserve">Subscription Services. </w:t>
      </w:r>
      <w:r>
        <w:rPr>
          <w:rFonts w:ascii="Times New Roman;sans-serif" w:hAnsi="Times New Roman;sans-serif"/>
          <w:b w:val="false"/>
          <w:color w:val="000000"/>
          <w:sz w:val="20"/>
        </w:rPr>
        <w:t>The Life360 Platform is currently available in 171 countries through the Apple App Store and 133 countries through the Google Play Store through both tiered and single subscription offerings. We believe that the opportunity for our core subscription offerings alone translates into a TAM of $75 billion. Our core subscription offering consists of a bundle of services that competes with a variety of single point solutions,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Location Sharing</w:t>
      </w:r>
      <w:r>
        <w:rPr>
          <w:rFonts w:ascii="Times New Roman;sans-serif" w:hAnsi="Times New Roman;sans-serif"/>
          <w:b w:val="false"/>
          <w:color w:val="000000"/>
          <w:sz w:val="20"/>
        </w:rPr>
        <w:t>. Our location sharing and associated safety features are a core pillar of our service, providing peace of mind for members by knowing location activity, receiving notifications and coordinating through messaging.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Driving Safety</w:t>
      </w:r>
      <w:r>
        <w:rPr>
          <w:rFonts w:ascii="Times New Roman;sans-serif" w:hAnsi="Times New Roman;sans-serif"/>
          <w:b w:val="false"/>
          <w:color w:val="000000"/>
          <w:sz w:val="20"/>
        </w:rPr>
        <w:t>. Our crash detection features can sense collisions, and we deploy emergency response and have the ability to aid with roadside issues such as towing services or minor repairs like jumpstarting a car battery.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Stolen Phone Protection</w:t>
      </w:r>
      <w:r>
        <w:rPr>
          <w:rFonts w:ascii="Times New Roman;sans-serif" w:hAnsi="Times New Roman;sans-serif"/>
          <w:b w:val="false"/>
          <w:color w:val="000000"/>
          <w:sz w:val="20"/>
        </w:rPr>
        <w:t>. Our stolen phone protection provides coverage for members in the U.S., Canada, ANZ and the United Kingdom in the event their phone is stolen.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Emergency Assistance</w:t>
      </w:r>
      <w:r>
        <w:rPr>
          <w:rFonts w:ascii="Times New Roman;sans-serif" w:hAnsi="Times New Roman;sans-serif"/>
          <w:b w:val="false"/>
          <w:color w:val="000000"/>
          <w:sz w:val="20"/>
        </w:rPr>
        <w:t>. Through emergency assistance, our Platinum members have access to medical professionals who can offer referrals and provide reliable and trusted information. Further, members can get expert advice and help in unpredictable situations such as natural disasters or travel support both before and during travels.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Digital Safety.</w:t>
      </w:r>
      <w:r>
        <w:rPr>
          <w:color w:val="000000"/>
        </w:rPr>
        <w:t xml:space="preserve"> </w:t>
      </w:r>
      <w:r>
        <w:rPr>
          <w:rFonts w:ascii="Times New Roman;sans-serif" w:hAnsi="Times New Roman;sans-serif"/>
          <w:b w:val="false"/>
          <w:color w:val="000000"/>
          <w:sz w:val="20"/>
        </w:rPr>
        <w:t>Increased data breaches, credit card, bank and identity fraud has driven a need for digital safety services among consumers. We leverage our aggregated data to offer proactive protection, notify about potential threats, and assist our members in remediation.</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u w:val="single"/>
        </w:rPr>
        <w:t xml:space="preserve">Item Tracking. </w:t>
      </w:r>
      <w:r>
        <w:rPr>
          <w:rFonts w:ascii="Times New Roman;sans-serif" w:hAnsi="Times New Roman;sans-serif"/>
          <w:b w:val="false"/>
          <w:color w:val="000000"/>
          <w:sz w:val="20"/>
        </w:rPr>
        <w:t>Tile is a leading brand in the rapidly growing smart tracker industry helping address the everyday pain point of losing or misplacing the things that matter most to our members. The market for bluetooth tracking and finding devices was estimated to be $2.1 billion in 2023, expected to grow at an estimated CAGR of 30% to $16.7 billion from 2023 to 2031, according to Intellectual Market Insights Report.</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u w:val="single"/>
        </w:rPr>
        <w:t xml:space="preserve">Pet Tracking. </w:t>
      </w:r>
      <w:r>
        <w:rPr>
          <w:rFonts w:ascii="Times New Roman;sans-serif" w:hAnsi="Times New Roman;sans-serif"/>
          <w:b w:val="false"/>
          <w:color w:val="000000"/>
          <w:sz w:val="20"/>
        </w:rPr>
        <w:t>The American Pet Product Association estimates that there are over 110 million cats and dogs in households in the U.S. The global pet wearable market is expected to grow at a 14% CAGR from $2.7 billion in 2023 to $6.9 billion by 2030. Within our member base, 65% of surveyed U.S. members owning a pet would be interested in a pet tracker as part of their Life360 subscription, demonstrating the strong market fit for our offering and our goal to capture this opportunity.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u w:val="single"/>
        </w:rPr>
        <w:t xml:space="preserve">Advertising. </w:t>
      </w:r>
      <w:r>
        <w:rPr>
          <w:rFonts w:ascii="Times New Roman;sans-serif" w:hAnsi="Times New Roman;sans-serif"/>
          <w:b w:val="false"/>
          <w:color w:val="000000"/>
          <w:sz w:val="20"/>
        </w:rPr>
        <w:t>The global mobile advertising market is estimated to be $402 billion in 2024 by Data.ai. We believe our leading consumer-centric platform, our highly-engaged member base and our valuable first-party data position us to capture a portion of this market while still prioritizing the quality of our members’ experiences and privacy. We believe advertising in the U.S. alone could be a $3.1 billion addressable opportunity for us.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part of our growth roadmap, we expect to leverage our core experience to drive growth in adjacent markets, expand our addressable market, and integrate Life360 into all life stages. We believe our TAM includes adjacent opportunities such as auto insurance, a $382 billion market in the U.S. in 2023 alone, according to Mordor Intelligence, as well as elderly monitoring and family financial services.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While we are already a leader in family safety and location sharing globally, we believe we are significantly underpenetrated across our core markets. For example, in the UK, ANZ, Canada, and Europe, penetration has increased over three times, measured as MAUs divided by population adjusted for smartphone penetration, according to the Pew Research Center, between December 2018 and March 2024. We believe there is potential for these markets to eventually reach parity with the U.S., where current penetration is 1 in 8 smartphone owners. Specifically, as of March 31, 2024, in the UK, ANZ, and Canada, our penetration is 7%, 9%, and 3%, respectively, reflecting 4.2 million, 2.2 million, and 0.9 million MAUs as of March 31, 2024, compared to 13% penetration in the U.S., reflecting approximately 38.8 million MAUs.</w:t>
      </w:r>
    </w:p>
    <w:p>
      <w:pPr>
        <w:pStyle w:val="TextBody"/>
        <w:bidi w:val="0"/>
        <w:spacing w:before="0" w:after="180"/>
        <w:jc w:val="center"/>
        <w:rPr>
          <w:bdr w:val="single" w:sz="8" w:space="36" w:color="000000"/>
        </w:rPr>
      </w:pPr>
      <w:r>
        <w:rPr>
          <w:bdr w:val="single" w:sz="8" w:space="36" w:color="000000"/>
        </w:rPr>
        <w:drawing>
          <wp:inline distT="0" distB="0" distL="0" distR="0">
            <wp:extent cx="5943600" cy="27336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5943600" cy="2733675"/>
                    </a:xfrm>
                    <a:prstGeom prst="rect">
                      <a:avLst/>
                    </a:prstGeom>
                  </pic:spPr>
                </pic:pic>
              </a:graphicData>
            </a:graphic>
          </wp:inline>
        </w:drawing>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While U.S. penetration grew from 6% as of March 31, 2020, to 13% as of March 31, 2024, we believe there is still a significant remaining runway for growth in the U.S. Over the last four years, U.S. penetration increased across all states, and states with penetration above the U.S. average of 6% in 2020 experienced over 115% penetration </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growth on average from March 31, 2020, to March 31, 2024, underlining that there is still meaningful runway in the U.S.</w:t>
      </w:r>
    </w:p>
    <w:p>
      <w:pPr>
        <w:pStyle w:val="TextBody"/>
        <w:bidi w:val="0"/>
        <w:spacing w:before="0" w:after="180"/>
        <w:jc w:val="center"/>
        <w:rPr>
          <w:bdr w:val="single" w:sz="8" w:space="36" w:color="000000"/>
        </w:rPr>
      </w:pPr>
      <w:r>
        <w:rPr>
          <w:bdr w:val="single" w:sz="8" w:space="36" w:color="000000"/>
        </w:rPr>
        <w:drawing>
          <wp:inline distT="0" distB="0" distL="0" distR="0">
            <wp:extent cx="5715000" cy="191452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5715000" cy="1914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Our Competitive Strengths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Leading Platform in Family Safety Across All Life Stages:</w:t>
      </w:r>
      <w:r>
        <w:rPr>
          <w:color w:val="000000"/>
        </w:rPr>
        <w:t xml:space="preserve"> </w:t>
      </w:r>
      <w:r>
        <w:rPr>
          <w:rFonts w:ascii="Times New Roman;sans-serif" w:hAnsi="Times New Roman;sans-serif"/>
          <w:b w:val="false"/>
          <w:color w:val="000000"/>
          <w:sz w:val="20"/>
        </w:rPr>
        <w:t>We are a market leader in family safety and location sharing directly addressing large, global market opportunities across our offerings. Approximately 66.4 million MAUs on the Life360 Platform worldwide enjoy the peace of mind that comes with the Life360 location sharing and safety features. We believe that our variety of services, including location safety, driving safety, digital safety, and emergency assistance, provide members with a superior experience. Beyond the Life360 app, we also help our members track their pets and the things they care most about, ensuring that families know all the most important aspects of their life are connected and safe. Given the breadth of our platform and services, we have attracted a wide range of members that span all life stages. To understand the segmentation of our member base, we analyze the composition of both our Circles, which includes free and paying members, and Paying Circles so that we can better understand the monetization patterns of different segments. Families with teens, which we define as Circles with at least one member being a parent and one or more teens, between the ages of 13 to 19, are our key audience making up 39% of Circles and 56% of Paying Circles, as of March 31, 2024. Couples, which we define as Circles of two members with a spouse or partner, represent 18% of Circles and 11% of Paying Circles as of March 31, 2024. We believe we have an opportunity to drive member engagement and organic growth in new MAUs across all life stages and expand monetization beyond our core audience.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Strong Brand Awareness and Freemium Model Driving Powerful Network Effects:</w:t>
      </w:r>
      <w:r>
        <w:rPr>
          <w:color w:val="000000"/>
        </w:rPr>
        <w:t xml:space="preserve"> </w:t>
      </w:r>
      <w:r>
        <w:rPr>
          <w:rFonts w:ascii="Times New Roman;sans-serif" w:hAnsi="Times New Roman;sans-serif"/>
          <w:b w:val="false"/>
          <w:color w:val="000000"/>
          <w:sz w:val="20"/>
        </w:rPr>
        <w:t xml:space="preserve">We have built a trusted brand synonymous with family safety and location sharing, driving strong word-of-mouth virality and organic member growth. We estimate our brand awareness among parents in the U.S. to be 53% in October 2023, with a Net Promoter Score of greater than 50 for adults aged between 31-60 in the U.S. as of April 2024. This is supported by Life360’s position as a top five social networking mobile app by DAUs, with a 4.7 rating on the Apple App Store in the U.S., as of March 2024. Because app store rankings significantly impact a consumer’s decision to download an app, we believe our high app store ranking drives strong organic member acquisition for Life360. We also believe our freemium business model drives significant member scale, allowing us to keep paid marketing spend efficient. Any smartphone user can download and use select Life360 features without payment, and we have a proven ability to convert free members to subscribers over time. On average, for all members that registered from 2017 through March 2024, with respect to free members that converted to subscribers during the first three years, approximately 35% converted in the first 1 month, approximately 28% converted in the next 11 months, and approximately 37% converted in the next 24 months. This demonstrates our consistency in driving subscriber conversion over multiple years well after their initial acquisition. We leverage our deep data insights to upsell free members at select, intentional moments to convert them to subscribers, where they can access new features that increase their willingness to pay and drive higher ARPPC over time. Our strong brand and freemium business model have helped drive efficient member growth of 26% for the year ended December 31, 2023 (including 40% growth outside the U.S.), while sales and marketing expense as a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 fell from 40% to 33% year-over-year. Between 2019 and 2023, our Life360 user acquisition cost, defined as the annual user acquisition spend divided by total new member registrations, was less than $1 per new member, driven by our strong word-of-mouth and disciplined approach to marketing spend.</w:t>
      </w:r>
    </w:p>
    <w:p>
      <w:pPr>
        <w:pStyle w:val="TextBody"/>
        <w:bidi w:val="0"/>
        <w:spacing w:before="0" w:after="180"/>
        <w:jc w:val="center"/>
        <w:rPr>
          <w:bdr w:val="single" w:sz="8" w:space="36" w:color="000000"/>
        </w:rPr>
      </w:pPr>
      <w:r>
        <w:rPr>
          <w:bdr w:val="single" w:sz="8" w:space="36" w:color="000000"/>
        </w:rPr>
        <w:drawing>
          <wp:inline distT="0" distB="0" distL="0" distR="0">
            <wp:extent cx="5943600" cy="260032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5943600" cy="2600325"/>
                    </a:xfrm>
                    <a:prstGeom prst="rect">
                      <a:avLst/>
                    </a:prstGeom>
                  </pic:spPr>
                </pic:pic>
              </a:graphicData>
            </a:graphic>
          </wp:inline>
        </w:drawing>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Paying Circles presented prior to 2023 in the table above have been recast to reflect the calculations under the revised metric definition. </w:t>
      </w:r>
    </w:p>
    <w:p>
      <w:pPr>
        <w:pStyle w:val="TextBody"/>
        <w:bidi w:val="0"/>
        <w:spacing w:before="0" w:after="0"/>
        <w:ind w:left="0" w:right="0" w:hanging="36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Highly Engaged Member Base:</w:t>
      </w:r>
      <w:r>
        <w:rPr>
          <w:color w:val="000000"/>
        </w:rPr>
        <w:t xml:space="preserve"> </w:t>
      </w:r>
      <w:r>
        <w:rPr>
          <w:rFonts w:ascii="Times New Roman;sans-serif" w:hAnsi="Times New Roman;sans-serif"/>
          <w:b w:val="false"/>
          <w:color w:val="000000"/>
          <w:sz w:val="20"/>
        </w:rPr>
        <w:t>We believe our member experience is what has enabled the Life360 Platform to become a leading player in family safety and location sharing. We are focused on continually improving our member engagement, and have been able to do so in both the U.S. and internationally by enhancing the member experience, introducing new services, localizing content for international markets, and implementing infrastructure improvements. Our member base is highly entrenched in our platform—as more members join the Life360 Platform, our members are able to gain deeper insights into the activities of their Circles that are not replicable on any other social network. The charts below highlight the increasing size and retention of our MAUs and the conversion to and retention of our Paying Circles that have joined in each period presented. The MAU chart illustrates that our number of MAUs by member registration year has grown significantly over time (with the exception of COVID-related impacts in 2020, which significantly depressed new member registrations during 2020 and we believe is not indicative of our growth), driven by higher registrations and improving member retention, particularly internationally. The Paying Circles chart highlights the growth in our subscriber base as a result of the growth in MAUs and increases in conversion. The long-term conversion pattern of our free members to Paying Circles (as described in “Strong Brand Awareness and Freemium Model Driving Powerful Network Effects”) has historically supported our net subscriber retention for the Paying Circles by member registration year by helping to offset, at least partially, subscribers that leave the platform over time.</w:t>
      </w:r>
    </w:p>
    <w:p>
      <w:pPr>
        <w:pStyle w:val="TextBody"/>
        <w:bidi w:val="0"/>
        <w:spacing w:before="0" w:after="180"/>
        <w:jc w:val="center"/>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jc w:val="center"/>
        <w:rPr>
          <w:bdr w:val="single" w:sz="8" w:space="36" w:color="000000"/>
        </w:rPr>
      </w:pPr>
      <w:r>
        <w:rPr>
          <w:bdr w:val="single" w:sz="8" w:space="36" w:color="000000"/>
        </w:rPr>
        <w:drawing>
          <wp:inline distT="0" distB="0" distL="0" distR="0">
            <wp:extent cx="5715000" cy="28765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5715000" cy="2876550"/>
                    </a:xfrm>
                    <a:prstGeom prst="rect">
                      <a:avLst/>
                    </a:prstGeom>
                  </pic:spPr>
                </pic:pic>
              </a:graphicData>
            </a:graphic>
          </wp:inline>
        </w:drawing>
      </w:r>
    </w:p>
    <w:p>
      <w:pPr>
        <w:pStyle w:val="TextBody"/>
        <w:bidi w:val="0"/>
        <w:spacing w:before="0" w:after="180"/>
        <w:ind w:left="0" w:right="0" w:firstLine="360"/>
        <w:jc w:val="both"/>
        <w:rPr/>
      </w:pPr>
      <w:r>
        <w:rPr/>
      </w:r>
    </w:p>
    <w:p>
      <w:pPr>
        <w:pStyle w:val="TextBody"/>
        <w:bidi w:val="0"/>
        <w:spacing w:before="0" w:after="180"/>
        <w:jc w:val="center"/>
        <w:rPr>
          <w:bdr w:val="single" w:sz="8" w:space="36" w:color="000000"/>
        </w:rPr>
      </w:pPr>
      <w:r>
        <w:rPr>
          <w:bdr w:val="single" w:sz="8" w:space="36" w:color="000000"/>
        </w:rPr>
        <w:drawing>
          <wp:inline distT="0" distB="0" distL="0" distR="0">
            <wp:extent cx="5715000" cy="28098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5715000" cy="2809875"/>
                    </a:xfrm>
                    <a:prstGeom prst="rect">
                      <a:avLst/>
                    </a:prstGeom>
                  </pic:spPr>
                </pic:pic>
              </a:graphicData>
            </a:graphic>
          </wp:inline>
        </w:drawing>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Unique Value Proposition Enabling Expansion of Average Revenue per Paying Circle:</w:t>
      </w:r>
      <w:r>
        <w:rPr>
          <w:color w:val="000000"/>
        </w:rPr>
        <w:t xml:space="preserve"> </w:t>
      </w:r>
      <w:r>
        <w:rPr>
          <w:rFonts w:ascii="Times New Roman;sans-serif" w:hAnsi="Times New Roman;sans-serif"/>
          <w:b w:val="false"/>
          <w:color w:val="000000"/>
          <w:sz w:val="20"/>
        </w:rPr>
        <w:t xml:space="preserve">We have leveraged our value proposition to members and tiered membership strategy to significantly increase our ARPPC with 16% year-over-year growth for U.S. Paying Circles as of the three months ending March 31, 2024, and 39% year-over-year growth for international Paying Circles in the same period. We have a strong track record of expanding ARPPC over time across both new and existing Paying Circles through a combination of higher pricing from the launch of triple tier memberships and price increases to new and existing Paying Circles. We expect this growth to continue as we benefit from recent triple tier membership launches in Canada, the UK and ANZ, and as members of our Paying Circles upgrade to higher priced tiers with additional features, including upsell opportunities with our hardware offering. We believe our subscriber retention dynamics combined with our ability to expand ARPPC provides visibility into our revenue. Net subscriber retention has historically been consistent across member registration years, driving net subscription revenue retention rate that is approximately 100% based on the average monthly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 for the six months ended December 31, 2023 compared to the prior six-month period. Our ability to continue to demonstrate trends like these is dependent on maintaining and expanding the value proposition of our platform, which supports member and subscriber retention and our ability to increase prices. </w:t>
      </w:r>
    </w:p>
    <w:p>
      <w:pPr>
        <w:pStyle w:val="TextBody"/>
        <w:bidi w:val="0"/>
        <w:spacing w:before="0" w:after="180"/>
        <w:jc w:val="center"/>
        <w:rPr>
          <w:bdr w:val="single" w:sz="8" w:space="36" w:color="000000"/>
        </w:rPr>
      </w:pPr>
      <w:r>
        <w:rPr>
          <w:bdr w:val="single" w:sz="8" w:space="36" w:color="000000"/>
        </w:rPr>
        <w:drawing>
          <wp:inline distT="0" distB="0" distL="0" distR="0">
            <wp:extent cx="5943600" cy="28765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5943600" cy="2876550"/>
                    </a:xfrm>
                    <a:prstGeom prst="rect">
                      <a:avLst/>
                    </a:prstGeom>
                  </pic:spPr>
                </pic:pic>
              </a:graphicData>
            </a:graphic>
          </wp:inline>
        </w:drawing>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(1)We previously calculated Paying Circles by including subscribers who had been billed as well as whose billing status was pending as of the end of the period. As of March 31, 2023, we revised our definition of Paying Circles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As a result, ARPPC presented prior to 2023 in the table above have been recast to reflect the calculations under the revised metric definition. </w:t>
      </w:r>
    </w:p>
    <w:p>
      <w:pPr>
        <w:pStyle w:val="TextBody"/>
        <w:bidi w:val="0"/>
        <w:spacing w:before="0" w:after="0"/>
        <w:ind w:left="0" w:right="0" w:hanging="36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Leveraging our First-Data Advantage to Monetize Through Advertising:</w:t>
      </w:r>
      <w:r>
        <w:rPr>
          <w:color w:val="000000"/>
        </w:rPr>
        <w:t xml:space="preserve"> </w:t>
      </w:r>
      <w:r>
        <w:rPr>
          <w:rFonts w:ascii="Times New Roman;sans-serif" w:hAnsi="Times New Roman;sans-serif"/>
          <w:b w:val="false"/>
          <w:color w:val="000000"/>
          <w:sz w:val="20"/>
        </w:rPr>
        <w:t>We introduced advertising to our platform in first quarter of 2024, with the goal of providing our advertising partners access to Life360’s approximately 66.4 million MAUs globally. We believe we are well positioned to monetize our advertising offering, given our deterministic-based targeting due to our extensive first-party location data, our globally recognized brand, and our ability to provide brands a contextually relevant and safe place to engage with families. Our focus is to implement advertising while ensuring that we protect our core experience and our member’s data privacy, and we are encouraged by the success of early testing, which demonstrates a neutral impact on member engagement and customer satisfaction score. We believe advertising presents a strong opportunity to build on the overall member experience and capitalize on our data advantage.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Comprehensive Product Suite with Breadth and Depth of Functionality:</w:t>
      </w:r>
      <w:r>
        <w:rPr>
          <w:color w:val="000000"/>
        </w:rPr>
        <w:t xml:space="preserve"> </w:t>
      </w:r>
      <w:r>
        <w:rPr>
          <w:rFonts w:ascii="Times New Roman;sans-serif" w:hAnsi="Times New Roman;sans-serif"/>
          <w:b w:val="false"/>
          <w:color w:val="000000"/>
          <w:sz w:val="20"/>
        </w:rPr>
        <w:t>Since 2016, we have invested over $375 million in research and development, with 35 patents issued or pending underlying the key offerings of our platform (including patents covering battery power conservation; location fixing and tracking; behavioral pattern assessment in the use of a mobile device; member safety; notification management; usage monitoring and access control of applications; generation of notifications in a workout group; generation and sending of prepopulated messages to a selected group of mobile devices). Our technology spans a wide range of services, from emergency assistance to identity theft protection to stolen phone reimbursement, applicable for every member of the family from child to grandparent. We are continually expanding our platform for our members. Our acquisitions of Tile and Jiobit have driven further growth, conversion and retention by improving the overall member experience and providing access to a unified experience that brings together software and hardware.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System- and Device-Agnostic, with OS Neutrality and Interoperability:</w:t>
      </w:r>
      <w:r>
        <w:rPr>
          <w:color w:val="000000"/>
        </w:rPr>
        <w:t xml:space="preserve"> </w:t>
      </w:r>
      <w:r>
        <w:rPr>
          <w:rFonts w:ascii="Times New Roman;sans-serif" w:hAnsi="Times New Roman;sans-serif"/>
          <w:b w:val="false"/>
          <w:color w:val="000000"/>
          <w:sz w:val="20"/>
        </w:rPr>
        <w:t xml:space="preserve">The Life360 suite of offerings is system- and device-agnostic, offering a cross-platform competitive advantage, especially in Android-heavy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locales. Our products and services work seamlessly for families, regardless of the different platforms and devices that each family member may elect to use. This is reflected in the composition of Paying Circles between platforms, with 45% of our total Paying Circles as of March 31, 2024 being cross-platform. This rises to nearly 50% for Paying Circles with more than three members. We believe we will continue to benefit from the increasing proliferation of connected devices across platforms given our platform agnostic approach.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Founder-Led, Seasoned Management Team:</w:t>
      </w:r>
      <w:r>
        <w:rPr>
          <w:color w:val="000000"/>
        </w:rPr>
        <w:t xml:space="preserve"> </w:t>
      </w:r>
      <w:r>
        <w:rPr>
          <w:rFonts w:ascii="Times New Roman;sans-serif" w:hAnsi="Times New Roman;sans-serif"/>
          <w:b w:val="false"/>
          <w:color w:val="000000"/>
          <w:sz w:val="20"/>
        </w:rPr>
        <w:t>Our leadership team is composed of highly experienced executives, with a proven track record of scaling consumer technology and subscription businesses, led by our co-founder and Chief Executive Officer, Chris Hulls. We are aligned and focused on our opportunity to build the most trusted brand in technology for family safety.</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Scalable Business Model Driven by Recurring Revenue:</w:t>
      </w:r>
      <w:r>
        <w:rPr>
          <w:color w:val="000000"/>
        </w:rPr>
        <w:t xml:space="preserve"> </w:t>
      </w:r>
      <w:r>
        <w:rPr>
          <w:rFonts w:ascii="Times New Roman;sans-serif" w:hAnsi="Times New Roman;sans-serif"/>
          <w:b w:val="false"/>
          <w:color w:val="000000"/>
          <w:sz w:val="20"/>
        </w:rPr>
        <w:t>We believe that we have a highly scalable business model that maximizes our revenues and minimizes our costs. The recurring nature of our subscription business coupled with strong member retention provides near-term revenue visibility, while our free member base serves as a highly efficient subscriber acquisition funnel. Our strategy has enabled us to drive continued revenue growth, achieving 33% year-over-year total revenue growth for the year ended December 31, 2023 underpinned by 44% year-over-year growth in subscription revenue (representing 73% of total revenue) in the same period. We believe we have invested in the necessary infrastructure to support our future growth and are beginning to see the benefits of operating leverage as we scale. For the year ended December 31, 2023, operating expenses grew by only 4% year-over-year compared to our larger revenue growth. This has contributed to a significantly reduced net loss of $28.2 million for the year ended December 31, 2023, compared to a net loss of $91.6 million for the year ended December 31, 2022, and a material improvement in Adjusted EBITDA, scaling from a $40.1 million loss for the year ended December 31, 2022 to $20.6 million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Growth Strategies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Grow Members in New and Existing Markets:</w:t>
      </w:r>
      <w:r>
        <w:rPr>
          <w:color w:val="000000"/>
        </w:rPr>
        <w:t xml:space="preserve"> </w:t>
      </w:r>
      <w:r>
        <w:rPr>
          <w:rFonts w:ascii="Times New Roman;sans-serif" w:hAnsi="Times New Roman;sans-serif"/>
          <w:b w:val="false"/>
          <w:color w:val="000000"/>
          <w:sz w:val="20"/>
        </w:rPr>
        <w:t>We have both a strong foothold in the U.S. and a large and growing international member base. The Life360 app is currently available for download in 171 countries through the Apple App Store and 133 countries through the Google Play Store. Our members are our best acquisition engine, and we believe that word-of-mouth referrals will continue to drive strong new member growth. We plan to drive further market penetration through increased investments in international marketing and brand awareness, member acquisition initiatives, and the provision of new features into these regions. We successfully implemented our tiered offering in Canada in December 2021, followed by the UK in October 2023, and ANZ in April 2024. As of December 31, 2023, international members represented approximately 40% of our total MAUs, but accounted for approximately 12% of total revenue—further highlighting the large-scale opportunity to grow paying subscriptions and advertising in new and existing global markets. Furthermore, we have demonstrated our ability to quickly accelerate ARPPC and revenue growth following the launch of triple tier pricing in new markets, replacing the legacy two tiered subscriber offering. Relative to its pre-launch revenue and ARPPC, Canada demonstrated ARPPC growth of 31%, 49%, and 51% after 6, 12, and 18 months post-launch, respectively. The triple tier membership launch and price increase to existing legacy subscribers in the UK saw 53% ARPPC growth in the first 6 months relative to the pre-launch baseline.</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Improve Conversion from Free Members to Paid Subscriptions:</w:t>
      </w:r>
      <w:r>
        <w:rPr>
          <w:color w:val="000000"/>
        </w:rPr>
        <w:t xml:space="preserve"> </w:t>
      </w:r>
      <w:r>
        <w:rPr>
          <w:rFonts w:ascii="Times New Roman;sans-serif" w:hAnsi="Times New Roman;sans-serif"/>
          <w:b w:val="false"/>
          <w:color w:val="000000"/>
          <w:sz w:val="20"/>
        </w:rPr>
        <w:t>We have built a scaled, global member base of approximately 66.4 million MAUs and believe we are still early in our opportunity to monetize our member base. We believe our value proposition will drive conversion from free to paid as we incorporate additional features that resonate across all life stages. As of March 31, 2024, MAUs in U.S. Paying Circles represented approximately 12% of our approximately 38.8 million U.S. MAUs, providing a strong runway for additional paid conversion. Similarly, MAUs in International Paying Circles represented approximately 5% of our approximately 27.5 million International MAUs. Life360 has a strong track record of Paying Circle growth with 1.9 million global Paying Circles as of March 31, 2024, an increase of 21% year-over-year (including 39% year-over-year growth for International Paying Circles).</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Pursue Disciplined Expansion in New Use Cases and New Verticals:</w:t>
      </w:r>
      <w:r>
        <w:rPr>
          <w:color w:val="000000"/>
        </w:rPr>
        <w:t xml:space="preserve"> </w:t>
      </w:r>
      <w:r>
        <w:rPr>
          <w:rFonts w:ascii="Times New Roman;sans-serif" w:hAnsi="Times New Roman;sans-serif"/>
          <w:b w:val="false"/>
          <w:color w:val="000000"/>
          <w:sz w:val="20"/>
        </w:rPr>
        <w:t>Product innovation lies at the heart of our platform, and as we continue to leverage our core technologies to offer additional services, expand into more life stages of families and enter new verticals, we believe we will strengthen our value proposition to consumers. We leverage the insights we generate from our platform to further enhance our offering. While we primarily monetize members via subscriptions today, we launched advertisements in the first quarter of 2024 and hope to expand into new revenue streams (such as auto insurance, family financial services and elderly monitoring) by leveraging the trust we have with our members and the valuable data our platform generates.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Increase Monetization of Free Members via Advertising: </w:t>
      </w:r>
      <w:r>
        <w:rPr>
          <w:rFonts w:ascii="Times New Roman;sans-serif" w:hAnsi="Times New Roman;sans-serif"/>
          <w:b w:val="false"/>
          <w:color w:val="000000"/>
          <w:sz w:val="20"/>
        </w:rPr>
        <w:t xml:space="preserve">We believe advertising is a significant opportunity to monetize our member base further, and we have developed a robust strategy to lean into this opportunity. Life360’s initial rollout is focused on pursuing programmatic relationships and paid partnerships while starting to leverage Life360’s unique, first-party data. Over time, we plan to expand our direct sales efforts to grow our advertiser base and pursue off-site advertising opportunities to help specific brands connect with our members organically and safely. Our priority is to implement advertising while ensuring that we enhance and protect our core experience, and we believe that we can achieve that while growing our advertising business significantly.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Assess Strategic Partnerships and Acquisition Opportunities:</w:t>
      </w:r>
      <w:r>
        <w:rPr>
          <w:color w:val="000000"/>
        </w:rPr>
        <w:t xml:space="preserve"> </w:t>
      </w:r>
      <w:r>
        <w:rPr>
          <w:rFonts w:ascii="Times New Roman;sans-serif" w:hAnsi="Times New Roman;sans-serif"/>
          <w:b w:val="false"/>
          <w:color w:val="000000"/>
          <w:sz w:val="20"/>
        </w:rPr>
        <w:t>With our acquisitions of Tile and Jiobit and our potential partnership and investment in Hubble (which is still in initial stages and is subject to negotiation and execution of definitive documentation), we plan to leverage our platform to continue expanding into new verticals for pets, elderly monitoring, and the things that matter most to families. These acquisitions have been successful in accelerating our platform vision, driving growth, and delivering value. We may selectively pursue partnerships or acquisitions to accelerate our platform opportunity in the future, focusing on areas of differentiation that shore up our scale and competitive advantage.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Channels for Disclosure of Information</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intend to announce material information to the public through filings with the SEC, the ASX, the investor relations page on our website (www.life360.com), press releases, public conference calls, and public webcasts.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information disclosed through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in Delaware in 2007 under the name of LReady, Inc. and subsequently changed our name to Life360, Inc. Our principal executive offices are located at 1900 South Norfolk Street, Suite 310, San Mateo, California 94403. Our telephone number is (415) 484-5244. Our website address is www.life360.com. Information contained on, or that can be accessed through, our website is not incorporated by reference into this prospectus, and you should not consider information on our website to be part of this prospectus. We have included our website address as an inactive textual reference only.</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Life360 logo, and other trademarks, trade names or service marks of Life360, Inc. appearing in this prospectus are the property of Life360, Inc. All other trademarks, trade names and service marks appearing in this prospectus are the property of their respective owners.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Securities We or Selling Securityholders May Offer</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or selling securityholders may offer shares of our common stock and preferred stock, if approved,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registration statement of which this prospectus is a part. We or selling securityholders may also offer common stock, preferred stock, if approved,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designation or classification;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aggregate principal amount or aggregate offering price;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maturity date, if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original issue discount,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rates and times of payment of interest or dividends,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redemption, conversion, exercise, exchange or sinking fund terms,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ranking;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restrictive covenants,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voting or other rights, if any;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material or special U.S. federal income tax considerations, if any.</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ind w:left="0" w:right="0" w:firstLine="36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THIS PROSPECTUS MAY NOT BE USED TO CONSUMMATE A SALE OF SECURITIES UNLESS IT IS ACCOMPANIED BY A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or selling securityholders may sell the securities directly to investors or to or through agents, underwriters or dealers. We or selling securityholders and our or their agents, underwriters or dealers, reserve the right to accept or reject all or part of any proposed purchase of securities. If we or selling securityholders do offer securities to or through agents, underwriters or dealers, we will include in the applicable prospectus supplement: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names of those agents, underwriters or dealers;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applicable fees, discounts and commissions to be paid to them;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details regarding options to purchase additional shares or other options, if any;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net proceeds to us, if any.</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Common Stock</w:t>
      </w:r>
      <w:r>
        <w:rPr>
          <w:rFonts w:ascii="Times New Roman;sans-serif" w:hAnsi="Times New Roman;sans-serif"/>
          <w:b w:val="false"/>
          <w:color w:val="000000"/>
          <w:sz w:val="20"/>
          <w:bdr w:val="single" w:sz="8" w:space="36" w:color="000000"/>
        </w:rPr>
        <w:t xml:space="preserve">. We may issue shares of our common stock from time to time, and the selling securityholders may offer shares of our common stock from time to time. The holders of our common stock are entitled to one vote for each share held of record on all matters submitted to a vote of stockholders. Holders of our CDIs are entitled to one vote for every three CDIs they hold. Subject to preferences that may be applicable to any outstanding shares of preferred stock, if approved, the holders of common stock are entitled to receive ratably such dividends as may be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declared by our board of directors out of legally available funds. We do not anticipate paying any cash dividends in the foreseeable future. Upon our liquidation, dissolution or winding up, holders of our common stock are entitled to share ratably in all assets remaining after payment of liabilities and the liquidation preferences of any outstanding shares of preferred stock, if approved.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the heading “Description of Capital Stock — Common Stock.” We urge you, however, to read the applicable prospectus supplement (and any related free writing prospectus that we may authorize to be provided to you) related to any common stock being offered.</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Preferred Stock</w:t>
      </w:r>
      <w:r>
        <w:rPr>
          <w:rFonts w:ascii="Times New Roman;sans-serif" w:hAnsi="Times New Roman;sans-serif"/>
          <w:b w:val="false"/>
          <w:color w:val="000000"/>
          <w:sz w:val="20"/>
          <w:bdr w:val="single" w:sz="8" w:space="36" w:color="000000"/>
        </w:rPr>
        <w:t xml:space="preserve">. If stockholders approve the Share Increase Amendment and Preferred Stock Amendment at the Annual Meeting and subject to the satisfaction of the Preferred Stock Amendment Conditions (each as defined below), we may issue shares of our preferred stock from time to time, in one or more series.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If we sell any series of preferred stock under this prospectus, we will file with the SEC the form of any certificate of designation that contains the terms of the series of preferred stock we are offering. In this prospectus, we have summarized certain general features of the preferred stock under the heading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when available, that will contain the terms of the applicable series of preferred stock.</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Debt Securities</w:t>
      </w:r>
      <w:r>
        <w:rPr>
          <w:rFonts w:ascii="Times New Roman;sans-serif" w:hAnsi="Times New Roman;sans-serif"/>
          <w:b w:val="false"/>
          <w:color w:val="000000"/>
          <w:sz w:val="20"/>
          <w:bdr w:val="single" w:sz="8" w:space="36" w:color="000000"/>
        </w:rPr>
        <w:t>.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 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Warrants</w:t>
      </w:r>
      <w:r>
        <w:rPr>
          <w:rFonts w:ascii="Times New Roman;sans-serif" w:hAnsi="Times New Roman;sans-serif"/>
          <w:b w:val="false"/>
          <w:color w:val="000000"/>
          <w:sz w:val="20"/>
          <w:bdr w:val="single" w:sz="8" w:space="36" w:color="000000"/>
        </w:rPr>
        <w:t xml:space="preserve">. We may issue warrants for the purchase of common stock, preferred stock and/or debt securities in one or more series. We may issue warrants independently or in combination with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certificates, as applicable, that contain the terms of the warrants. We have filed the forms of the warrant agreements and forms of warrant certificates containing the terms of the warrants that may be offered as exhibits to the registration statement </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Use of Proceeds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Unless the applicable prospectus supplement provides otherwise, we will not receive any of the proceeds from the sale of our securities by selling securityholders. See “Use of Proceeds” in this prospectus.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Exchange Listing</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 SELECTED CONDENSED CONSOLIDATED FINANCIAL AND OTHER DATA</w:t>
      </w:r>
    </w:p>
    <w:p>
      <w:pPr>
        <w:pStyle w:val="TextBody"/>
        <w:bidi w:val="0"/>
        <w:spacing w:lineRule="auto" w:line="288" w:before="0" w:after="180"/>
        <w:ind w:left="0" w:right="0" w:firstLine="36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The following tables summarize our selected condensed consolidated financial and other data. We derived the summary selected unaudited condensed consolidated statements of operations data for the three months ended March 31, 2024 and 2023 and the summary selected unaudited condensed consolidated balance sheet data as of March 31, 2024 from our unaudited condensed consolidated financial statements included in our Quarterly Report on Form 10-Q to be filed with the SEC on May 9, 2024 (“Quarterly Report”). We derived the summary selected consolidated statements of operations data for the fiscal years ended December 31, 2023 and 2022 and the summary selected consolidated balance sheet data as of December 31, 2023 from our audited consolidated financial statements included in our Annual Report on Form 10-K filed with the SEC on February 29, 2024 (“Annual Report”). When you read this summary of consolidated financial and other data, it is important that you read it together with the historical consolidated financial statements and the related notes included in our Annual Report and Quarterly Report, as well as the sections titled “Management’s Discussion and Analysis of Financial Condition and Results of Operations” in each of our Annual Report and Quarterly Report. Our historical results are not necessarily indicative of the results to be expected for any future period, and our interim results are not necessarily indicative of results to be expected for the full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 Financial and Other Results for the First Quarter 2024</w:t>
      </w:r>
    </w:p>
    <w:tbl>
      <w:tblPr>
        <w:tblW w:w="10205" w:type="dxa"/>
        <w:jc w:val="left"/>
        <w:tblInd w:w="0" w:type="dxa"/>
        <w:tblLayout w:type="fixed"/>
        <w:tblCellMar>
          <w:top w:w="28" w:type="dxa"/>
          <w:left w:w="28" w:type="dxa"/>
          <w:bottom w:w="28" w:type="dxa"/>
          <w:right w:w="28" w:type="dxa"/>
        </w:tblCellMar>
      </w:tblPr>
      <w:tblGrid>
        <w:gridCol w:w="1182"/>
        <w:gridCol w:w="1014"/>
        <w:gridCol w:w="1016"/>
        <w:gridCol w:w="249"/>
        <w:gridCol w:w="854"/>
        <w:gridCol w:w="129"/>
        <w:gridCol w:w="109"/>
        <w:gridCol w:w="109"/>
        <w:gridCol w:w="109"/>
        <w:gridCol w:w="292"/>
        <w:gridCol w:w="1000"/>
        <w:gridCol w:w="151"/>
        <w:gridCol w:w="109"/>
        <w:gridCol w:w="109"/>
        <w:gridCol w:w="109"/>
        <w:gridCol w:w="249"/>
        <w:gridCol w:w="854"/>
        <w:gridCol w:w="129"/>
        <w:gridCol w:w="109"/>
        <w:gridCol w:w="109"/>
        <w:gridCol w:w="109"/>
        <w:gridCol w:w="250"/>
        <w:gridCol w:w="217"/>
        <w:gridCol w:w="376"/>
        <w:gridCol w:w="109"/>
        <w:gridCol w:w="109"/>
        <w:gridCol w:w="109"/>
        <w:gridCol w:w="263"/>
        <w:gridCol w:w="269"/>
        <w:gridCol w:w="403"/>
      </w:tblGrid>
      <w:tr>
        <w:trPr/>
        <w:tc>
          <w:tcPr>
            <w:tcW w:w="118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QoQ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YoY</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______________</w:t>
      </w:r>
    </w:p>
    <w:p>
      <w:pPr>
        <w:pStyle w:val="TextBody"/>
        <w:bidi w:val="0"/>
        <w:spacing w:lineRule="auto" w:line="288"/>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(1)Adjusted EBITDA is a non-GAAP financial metric. See “Summary Selected Condensed Consolidated Financial and Other Data—Non-GAAP Financial Information” for a reconciliation of Adjusted EBITDA to the nearest comparable GAAP metric, net loss.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Key Performance Indicators for the First Quarter 2024</w:t>
      </w:r>
    </w:p>
    <w:tbl>
      <w:tblPr>
        <w:tblW w:w="10205" w:type="dxa"/>
        <w:jc w:val="left"/>
        <w:tblInd w:w="0" w:type="dxa"/>
        <w:tblLayout w:type="fixed"/>
        <w:tblCellMar>
          <w:top w:w="28" w:type="dxa"/>
          <w:left w:w="28" w:type="dxa"/>
          <w:bottom w:w="28" w:type="dxa"/>
          <w:right w:w="28" w:type="dxa"/>
        </w:tblCellMar>
      </w:tblPr>
      <w:tblGrid>
        <w:gridCol w:w="1358"/>
        <w:gridCol w:w="1083"/>
        <w:gridCol w:w="1086"/>
        <w:gridCol w:w="243"/>
        <w:gridCol w:w="834"/>
        <w:gridCol w:w="126"/>
        <w:gridCol w:w="109"/>
        <w:gridCol w:w="109"/>
        <w:gridCol w:w="109"/>
        <w:gridCol w:w="280"/>
        <w:gridCol w:w="958"/>
        <w:gridCol w:w="144"/>
        <w:gridCol w:w="109"/>
        <w:gridCol w:w="109"/>
        <w:gridCol w:w="109"/>
        <w:gridCol w:w="243"/>
        <w:gridCol w:w="834"/>
        <w:gridCol w:w="126"/>
        <w:gridCol w:w="109"/>
        <w:gridCol w:w="109"/>
        <w:gridCol w:w="109"/>
        <w:gridCol w:w="212"/>
        <w:gridCol w:w="215"/>
        <w:gridCol w:w="376"/>
        <w:gridCol w:w="109"/>
        <w:gridCol w:w="109"/>
        <w:gridCol w:w="109"/>
        <w:gridCol w:w="180"/>
        <w:gridCol w:w="181"/>
        <w:gridCol w:w="418"/>
      </w:tblGrid>
      <w:tr>
        <w:trPr/>
        <w:tc>
          <w:tcPr>
            <w:tcW w:w="135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QoQ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YoY</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Life360 Core</w:t>
            </w:r>
            <w:r>
              <w:rPr>
                <w:rFonts w:ascii="Times New Roman;sans-serif" w:hAnsi="Times New Roman;sans-serif"/>
                <w:b/>
                <w:color w:val="000000"/>
                <w:sz w:val="13"/>
              </w:rPr>
              <w:t>(1)</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 Active Users (MAUs) - Global</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 Total</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Circle (ARPPC)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Life360 Consolidated</w:t>
            </w:r>
            <w:r>
              <w:rPr>
                <w:rFonts w:ascii="Times New Roman;sans-serif" w:hAnsi="Times New Roman;sans-serif"/>
                <w:b/>
                <w:color w:val="000000"/>
                <w:sz w:val="13"/>
              </w:rPr>
              <w:t>(1)</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Subscription (ARPPS)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Selling Price (ASP)</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Annualized Monthly Revenue (AMR)</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(1)Key performance indicators are presented in millions, except ARPPC, ARPPS, and ASP, however percentage changes are calculated based on actual results. As a result, percentage changes may not recalculate based on figures presented due to rounding. </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First Quarter 2024 Financial Highlights</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color w:val="000000"/>
          <w:sz w:val="20"/>
          <w:bdr w:val="single" w:sz="8" w:space="36" w:color="000000"/>
        </w:rPr>
        <w:t>We had revenue of $78.2 million in the quarter ended March 31, 2024, an increase of 15% from our $68.1 million of revenue in the quarter ended March 31, 2023. Our net loss for the quarter ended March 31, 2024 was $9.8 million, a $4.3 million reduction from our $14.1 million net loss in the quarter ended March 31, 2023</w:t>
      </w:r>
      <w:r>
        <w:rPr>
          <w:rFonts w:ascii="Times New Roman;sans-serif" w:hAnsi="Times New Roman;sans-serif"/>
          <w:b/>
          <w:color w:val="000000"/>
          <w:sz w:val="20"/>
          <w:bdr w:val="single" w:sz="8" w:space="36" w:color="000000"/>
        </w:rPr>
        <w:t xml:space="preserve">. </w:t>
      </w:r>
      <w:r>
        <w:rPr>
          <w:rFonts w:ascii="Times New Roman;sans-serif" w:hAnsi="Times New Roman;sans-serif"/>
          <w:b w:val="false"/>
          <w:color w:val="000000"/>
          <w:sz w:val="20"/>
          <w:bdr w:val="single" w:sz="8" w:space="36" w:color="000000"/>
        </w:rPr>
        <w:t>Adjusted EBITDA was $4.3 million in the quarter ended March 31, 2024, an increase of $3.8 million compared to Adjusted EBITDA of $0.5 million for the quarter ended March 31, 2023. Our cash flow from operations was $10.7 million for the quarter ended March 31, 2024, an improvement of $19.9 million compared to $(9.2) million in the quarter ended March 31, 2023. We had $74.6 million of cash, cash equivalents and restricted cash as of March 31, 2024. Total commissions were $11.8 million and $10.3 million and represented 19.2% and 19.9% of total subscription revenue for the three months ended March 31, 2024 and 2023, respectively.</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First Quarter 2024 Operating Highlights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MAUs grew approximately 4.9 million, or 8%, to 66.4 million for the quarter ended March 31, 2024. We had net Paying Circle additions of 96,000. Global Paying Circles grew to 1.9 million, a 21% increase over the prior year, supported by improved conversion and retention.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Along with the UK Triple Tier Membership launch in October 2023, we included a price increase for existing UK subscribers in January 2024. The ANZ Triple Tier launched in late April 2024, following a price increase for existing ANZ subscribers.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 Financial and Other Results for the Years Ended December 31, 2023 and 2022</w:t>
      </w:r>
    </w:p>
    <w:tbl>
      <w:tblPr>
        <w:tblW w:w="8379" w:type="dxa"/>
        <w:jc w:val="left"/>
        <w:tblInd w:w="0" w:type="dxa"/>
        <w:tblLayout w:type="fixed"/>
        <w:tblCellMar>
          <w:top w:w="28" w:type="dxa"/>
          <w:left w:w="28" w:type="dxa"/>
          <w:bottom w:w="28" w:type="dxa"/>
          <w:right w:w="28" w:type="dxa"/>
        </w:tblCellMar>
      </w:tblPr>
      <w:tblGrid>
        <w:gridCol w:w="1271"/>
        <w:gridCol w:w="1118"/>
        <w:gridCol w:w="1120"/>
        <w:gridCol w:w="109"/>
        <w:gridCol w:w="109"/>
        <w:gridCol w:w="109"/>
        <w:gridCol w:w="263"/>
        <w:gridCol w:w="1031"/>
        <w:gridCol w:w="136"/>
        <w:gridCol w:w="136"/>
        <w:gridCol w:w="136"/>
        <w:gridCol w:w="136"/>
        <w:gridCol w:w="263"/>
        <w:gridCol w:w="1031"/>
        <w:gridCol w:w="136"/>
        <w:gridCol w:w="109"/>
        <w:gridCol w:w="109"/>
        <w:gridCol w:w="109"/>
        <w:gridCol w:w="268"/>
        <w:gridCol w:w="272"/>
        <w:gridCol w:w="408"/>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 YoY</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(1)Adjusted EBITDA is a non-GAAP financial metric. See “Summary Selected Condensed Consolidated Financial and Other Data—Non-GAAP Financial Information” for a reconciliation of Adjusted EBITDA to the nearest comparable GAAP metric, net loss. </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Key Performance Indicators for the Years Ended December 31, 2023 and 2022</w:t>
      </w:r>
    </w:p>
    <w:tbl>
      <w:tblPr>
        <w:tblW w:w="8715" w:type="dxa"/>
        <w:jc w:val="left"/>
        <w:tblInd w:w="0" w:type="dxa"/>
        <w:tblLayout w:type="fixed"/>
        <w:tblCellMar>
          <w:top w:w="28" w:type="dxa"/>
          <w:left w:w="28" w:type="dxa"/>
          <w:bottom w:w="28" w:type="dxa"/>
          <w:right w:w="28" w:type="dxa"/>
        </w:tblCellMar>
      </w:tblPr>
      <w:tblGrid>
        <w:gridCol w:w="1555"/>
        <w:gridCol w:w="1373"/>
        <w:gridCol w:w="1377"/>
        <w:gridCol w:w="286"/>
        <w:gridCol w:w="978"/>
        <w:gridCol w:w="148"/>
        <w:gridCol w:w="148"/>
        <w:gridCol w:w="148"/>
        <w:gridCol w:w="148"/>
        <w:gridCol w:w="286"/>
        <w:gridCol w:w="978"/>
        <w:gridCol w:w="148"/>
        <w:gridCol w:w="109"/>
        <w:gridCol w:w="109"/>
        <w:gridCol w:w="109"/>
        <w:gridCol w:w="202"/>
        <w:gridCol w:w="204"/>
        <w:gridCol w:w="409"/>
      </w:tblGrid>
      <w:tr>
        <w:trPr/>
        <w:tc>
          <w:tcPr>
            <w:tcW w:w="155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YoY</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Life360 Core</w:t>
            </w:r>
            <w:r>
              <w:rPr>
                <w:rFonts w:ascii="Times New Roman;sans-serif" w:hAnsi="Times New Roman;sans-serif"/>
                <w:b/>
                <w:color w:val="000000"/>
                <w:sz w:val="13"/>
              </w:rPr>
              <w:t>(1)</w:t>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 Active Users (MAUs) - Global</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 Total</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Circle (ARPPC)</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Life360 Consolidated (Adjusted for 2022)</w:t>
            </w:r>
            <w:r>
              <w:rPr>
                <w:rFonts w:ascii="Times New Roman;sans-serif" w:hAnsi="Times New Roman;sans-serif"/>
                <w:b/>
                <w:color w:val="000000"/>
                <w:sz w:val="13"/>
              </w:rPr>
              <w:t>(1)(2)(3)</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Subscription (ARPPS)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Selling Price (ASP)</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Annualized Monthly Revenue (AMR)</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(1)Key performance indicators are presented in millions, except ARPPC, ARPPS, and ASP, however percentage changes are calculated based on actual results. As a result, percentage changes may not recalculate based on figures presented due to rounding.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(2)Metrics presented as of and for the periods ended December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(3)Metrics presented for the year ended December 31, 2022 are adjusted to include pre-acquisition data for Tile related to periods before the acquisition of Tile on January 5, 2022.</w:t>
      </w:r>
    </w:p>
    <w:p>
      <w:pPr>
        <w:pStyle w:val="TextBody"/>
        <w:bidi w:val="0"/>
        <w:ind w:left="0" w:right="0" w:hanging="36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2023 Financial Highlights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had revenue of $304.5 million for the year ended December 31, 2023, an increase of 33% from our $228.3 million of revenue for the year ended December 31, 2022. Our net loss for the year ended December 31, 2023 was $28.2 million, a $63.4 million reduction from our $91.6 million net loss for the year ended December 31, 2022. Adjusted EBITDA was $20.6 million for the year ended December 31, 2023, an increase of $60.7 million compared to Adjusted EBITDA of $(40.1) million for the year ended December 31, 2022. Our cash flow from operations was $7.5 million for the year ended December 31, 2023, an improvement of $64.6 million compared to $(57.1) million for the year ended December 31, 2022. We had $70.7 million of cash, cash equivalents and restricted cash as of December 31, 2023.</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had subscription revenue of $220.8 million in the year ended December 31, 2023, an increase of 44% from our $153.3 million of subscription revenue in the year ended December 31, 2022, benefiting from U.S. price increases for new Paying Circles and the repricing of existing U.S. iOS and Android Paying Circles. </w:t>
      </w:r>
    </w:p>
    <w:p>
      <w:pPr>
        <w:pStyle w:val="TextBody"/>
        <w:bidi w:val="0"/>
        <w:spacing w:lineRule="auto" w:line="288" w:before="0" w:after="180"/>
        <w:ind w:left="0" w:right="0" w:firstLine="360"/>
        <w:jc w:val="both"/>
        <w:rPr>
          <w:bdr w:val="single" w:sz="8" w:space="36" w:color="000000"/>
        </w:rPr>
      </w:pPr>
      <w:r>
        <w:rPr>
          <w:rFonts w:ascii="Times New Roman;sans-serif" w:hAnsi="Times New Roman;sans-serif"/>
          <w:b w:val="false"/>
          <w:color w:val="000000"/>
          <w:sz w:val="20"/>
          <w:bdr w:val="single" w:sz="8" w:space="36" w:color="000000"/>
        </w:rPr>
        <w:t>Hardware revenue in 2023 increased 21% year-over-year, with a usual seasonal uplift in the fourth quarter of 2023. Key drivers were the 12% uplift in hardware units sold compared to 2022, stable ASP, and contribution from bundling with Life360 subscriptions.</w:t>
      </w:r>
      <w:r>
        <w:rPr>
          <w:color w:val="000000"/>
          <w:bdr w:val="single" w:sz="8" w:space="36" w:color="000000"/>
        </w:rPr>
        <w:t xml:space="preserve"> </w:t>
      </w:r>
      <w:r>
        <w:rPr>
          <w:rFonts w:ascii="Times New Roman;sans-serif" w:hAnsi="Times New Roman;sans-serif"/>
          <w:b w:val="false"/>
          <w:color w:val="000000"/>
          <w:sz w:val="20"/>
          <w:bdr w:val="single" w:sz="8" w:space="36" w:color="000000"/>
        </w:rPr>
        <w:t xml:space="preserve">Other revenue of $25.5 million in 2023 was down slightly year-over-year, reflecting the transition to a single data partnership beginning January 2022.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Total commissions expenses, which are revenue-share payments in connection with subscription sales on third-party app store platforms, were $42.7 million and $31.4 million and represented 19.3% and 20.5% of subscription revenue for the years ended December 31, 2023 and December 31,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Adjusted EBITDA and Adjusted EBITDA margin improved from 2022 to 2023, driven by cost structure improvements and increased operating leverage as a result of focusing on financial discipline in our business. Adjusted EBITDA of $20.6 million and net loss of $28.2 million for the year ended December 31, 2023 both delivered a significant improvement from the prior year and reflect meaningful progress on our path to profitability. In 2023, Operating expenses increased just 4% year-over-year, and decreased 1% excluding variable commissions, reflecting our disciplined approach to costs. </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2023 Operating Highlights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The Company demonstrated significant operating leverage in 2023 with revenue growth of $76.2 million on an operating expense increase of $9.6 million, yielding increasing Adjusted EBITDA margins and positive Adjusted EBITDA in each quarter. Global MAUs grew nearly 13 million or 26% to 61.4 million in 2023, driven by ongoing investment in our core location sharing experience. International MAUs grew 7 million, or 40% to 24.6 million in 2023 as we increased the speed and responsiveness of the app, and achieved international feature parity with the U.S. Our current international Triple Tier markets of focus - Canada, the UK and ANZ - all delivered significant growth, with particular outperformance in the UK and ANZ.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In 2023, global net Paying Circle additions were 307,000, with global Paying Circles of 1.8 million in 2023, up 21%, despite significant price increases implemented in the third and fourth quarter of 2022 and second quarter of 2023, underscoring the value our subscribers perceive in the Life360 services. Global ARPPC was 25% higher for the year ended December 31, 2023. U.S. Average Revenue Per Paying Circle (ARPPC) increased 32% in 2023 compared to 2022, driven by price increases. International Paying Circles increased 43% from 2022 to 2023 to 474,000, benefiting from strong growth in both the UK and ANZ. Triple Tier Membership launched in the UK in October 2023. </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Key Performance Indicators</w:t>
      </w:r>
    </w:p>
    <w:tbl>
      <w:tblPr>
        <w:tblW w:w="10916" w:type="dxa"/>
        <w:jc w:val="left"/>
        <w:tblInd w:w="0" w:type="dxa"/>
        <w:tblLayout w:type="fixed"/>
        <w:tblCellMar>
          <w:top w:w="28" w:type="dxa"/>
          <w:left w:w="28" w:type="dxa"/>
          <w:bottom w:w="28" w:type="dxa"/>
          <w:right w:w="28" w:type="dxa"/>
        </w:tblCellMar>
      </w:tblPr>
      <w:tblGrid>
        <w:gridCol w:w="780"/>
        <w:gridCol w:w="225"/>
        <w:gridCol w:w="226"/>
        <w:gridCol w:w="109"/>
        <w:gridCol w:w="109"/>
        <w:gridCol w:w="109"/>
        <w:gridCol w:w="211"/>
        <w:gridCol w:w="721"/>
        <w:gridCol w:w="109"/>
        <w:gridCol w:w="109"/>
        <w:gridCol w:w="109"/>
        <w:gridCol w:w="109"/>
        <w:gridCol w:w="109"/>
        <w:gridCol w:w="211"/>
        <w:gridCol w:w="721"/>
        <w:gridCol w:w="109"/>
        <w:gridCol w:w="109"/>
        <w:gridCol w:w="109"/>
        <w:gridCol w:w="109"/>
        <w:gridCol w:w="211"/>
        <w:gridCol w:w="721"/>
        <w:gridCol w:w="109"/>
        <w:gridCol w:w="211"/>
        <w:gridCol w:w="721"/>
        <w:gridCol w:w="109"/>
        <w:gridCol w:w="211"/>
        <w:gridCol w:w="721"/>
        <w:gridCol w:w="109"/>
        <w:gridCol w:w="109"/>
        <w:gridCol w:w="109"/>
        <w:gridCol w:w="109"/>
        <w:gridCol w:w="211"/>
        <w:gridCol w:w="721"/>
        <w:gridCol w:w="109"/>
        <w:gridCol w:w="211"/>
        <w:gridCol w:w="721"/>
        <w:gridCol w:w="109"/>
        <w:gridCol w:w="211"/>
        <w:gridCol w:w="61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Year Ended December 31,</w:t>
            </w:r>
          </w:p>
        </w:tc>
        <w:tc>
          <w:tcPr>
            <w:tcW w:w="981" w:type="dxa"/>
            <w:gridSpan w:val="3"/>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Life360 Core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 Active Users (MAUs) - Global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Circle (ARPPC)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Life360 Consolidated (Adjusted for 2022)</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Paying Subscription (ARPPS)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Selling Price (ASP)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Annualized Monthly Revenue (AMR)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(1)Metrics presented for the year ended December 31, 2022 are adjusted to include pre-acquisition data for Tile related to periods before the acquisition of Tile on January 5,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Subscription Revenue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Hardware Revenue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Other Revenue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also generate revenue through an arrangement with a key data partner that provides location-based analytics services to customers in the retail and real estate sectors, municipalities, and other private and public organizations. The agreement permits commercialization of certain aggregated and de-identified data and provides for fixed and variable monthly revenue amounts. Other revenue also includes advertising and partnership revenue, which represents agreements with third parties to provide access to advertising on the Company’s mobile platform.</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Annualized Monthly Revenue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use AMR to identify the annualized monthly value of active customer agreements at the end of a reporting period. AMR includes the annualized monthly value of Life360 subscription, data and partnership agreements. All components of these agreements that are not expected to recur are excluded. This does not represent revenue under GAAP on an annualized basis, as the operating metric can be impacted by start and end dates and renewal rates.</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Monthly Active Users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 MAU is defined as a unique user who engages with our Life360 branded services each month, which includes both paying and non-paying members. A Life360 MAU is defined as a unique member who engages with our Life360 application each month, which includes both paying and non-paying members.</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Paying Circles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define a Paying Circle as a group of Life360 members with a paying subscription that has been billed as of the end of a period. Each subscription covers all members in the payor’s Circle so everyone in the Circle can utilize the benefits of a Life360 Membership, including access to premium location, driving, digital and emergency safety insights and services.</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Average Revenue per Paying Circle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define ARPPC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Subscriptions</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define Subscriptions as the number of paying subscribers associated with the Life360, Jiobit and Tile brands who have been billed as of the end of the period.</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Average Revenue per Paying Subscription</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define ARPPS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Net Hardware Units Shipped</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Net Average Selling Price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 determine the net ASP of a unit, we divide hardware revenue recognized, excluding certain revenue adjustments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Non-GAAP Financial Information</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 supplement our consolidated financial statements prepared and presented in accordance with GAAP, we use certain non-GAAP financial measures, such as EBITDA, Adjusted EBITDA and non-GAAP operating expenses, to make operating decisions, including those related to operating expenses, evaluation performance and perform strategic planning and annual budgeting. Additionally, the non-GAAP financial information provides useful information to investors and others in understanding and evaluating our results of operations and operating efficiency, as well as providing useful measures for period-to-period comparisons of our business performance.</w:t>
      </w:r>
    </w:p>
    <w:p>
      <w:pPr>
        <w:pStyle w:val="TextBody"/>
        <w:bidi w:val="0"/>
        <w:spacing w:lineRule="auto" w:line="288" w:before="0" w:after="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Adjusted EBITDA and Adjusted EBITDA Margin</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define Adjusted EBITDA as net loss, adjusted to exclude (i) convertible notes and derivative liability fair value adjustments, (ii) provision for (benefit from) income taxes, (iii) depreciation and amortization, (iv) other income (expense), net, (v) stock-based compensation, (vi) Form 10 transaction costs, (vii) acquisition and integration costs, (viii) workplace restructuring costs, (ix) inventory write-offs, (x) adjustment in connection with membership benefit, (xi) warehouse relocation costs and (xii) the revaluation of contingent consideration. We define Adjusted EBITDA margin as Adjusted EBITDA as a percent of revenue.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refer to Adjusted EBITDA and Adjusted EBITDA margin because they are important measures management uses to assess our operating performance and the operating leverage in our business. Because Adjusted EBITDA and Adjusted EBITDA margin facilitate internal comparisons of our historical operating performance, including as an indication of our revenue growth and operating efficiencies, we use them to evaluate the effectiveness of our strategic initiatives and for business planning purposes. We believe that Adjusted EBITDA, and Adjusted EBITDA margin, when taken collectively, may be useful to investors because they provide consistency and comparability with past financial performance, so that investors can evaluate our operating efficiencies by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bdr w:val="single" w:sz="8" w:space="36" w:color="000000"/>
        </w:rPr>
      </w:pPr>
      <w:r>
        <w:rPr>
          <w:rFonts w:ascii="Times New Roman;sans-serif" w:hAnsi="Times New Roman;sans-serif"/>
          <w:b w:val="false"/>
          <w:color w:val="000000"/>
          <w:sz w:val="20"/>
          <w:bdr w:val="single" w:sz="8" w:space="36" w:color="000000"/>
        </w:rPr>
        <w:t>excluding certain items that may not be indicative of our business, results of operations, or outlook. In addition,</w:t>
      </w:r>
      <w:r>
        <w:rPr>
          <w:color w:val="000000"/>
          <w:u w:val="single"/>
          <w:bdr w:val="single" w:sz="8" w:space="36" w:color="000000"/>
        </w:rPr>
        <w:t xml:space="preserve"> </w:t>
      </w:r>
      <w:r>
        <w:rPr>
          <w:rFonts w:ascii="Times New Roman;sans-serif" w:hAnsi="Times New Roman;sans-serif"/>
          <w:b w:val="false"/>
          <w:color w:val="000000"/>
          <w:sz w:val="20"/>
          <w:bdr w:val="single" w:sz="8" w:space="36" w:color="000000"/>
        </w:rPr>
        <w:t>we believe Adjusted EBITDA is widely used by investors, securities analysts, ratings agencies, and other parties in evaluating companies in our industry as a measure of operational performance.</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Adjusted EBITDA and Adjusted EBITDA margin should not be considered as alternatives to net income (loss), net income (loss) as a percent of revenue, or any other measure of financial performance calculated and presented in accordance with GAAP. There are a number of limitations related to the use of Adjusted EBITDA and Adjusted EBITDA margin rather than net income (loss) and net income (loss) as a percent of revenue, which are the most directly comparable GAAP measures. Some of these limitations are that each of Adjusted EBITDA and Adjusted EBITDA margin: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Excludes stock-based compensation expense;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Excludes depreciation and amortization expense, and although these are non-cash expenses, the assets being depreciated may have to be replaced in the future, increasing our cash requirements;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Does not reflect other income and expense;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Does not reflect income taxes that reduces cash available to us. </w:t>
      </w:r>
    </w:p>
    <w:p>
      <w:pPr>
        <w:pStyle w:val="TextBody"/>
        <w:bidi w:val="0"/>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tbl>
      <w:tblPr>
        <w:tblW w:w="12919" w:type="dxa"/>
        <w:jc w:val="left"/>
        <w:tblInd w:w="0" w:type="dxa"/>
        <w:tblLayout w:type="fixed"/>
        <w:tblCellMar>
          <w:top w:w="28" w:type="dxa"/>
          <w:left w:w="28" w:type="dxa"/>
          <w:bottom w:w="28" w:type="dxa"/>
          <w:right w:w="28" w:type="dxa"/>
        </w:tblCellMar>
      </w:tblPr>
      <w:tblGrid>
        <w:gridCol w:w="705"/>
        <w:gridCol w:w="277"/>
        <w:gridCol w:w="279"/>
        <w:gridCol w:w="211"/>
        <w:gridCol w:w="631"/>
        <w:gridCol w:w="271"/>
        <w:gridCol w:w="109"/>
        <w:gridCol w:w="109"/>
        <w:gridCol w:w="109"/>
        <w:gridCol w:w="211"/>
        <w:gridCol w:w="736"/>
        <w:gridCol w:w="271"/>
        <w:gridCol w:w="109"/>
        <w:gridCol w:w="109"/>
        <w:gridCol w:w="109"/>
        <w:gridCol w:w="211"/>
        <w:gridCol w:w="631"/>
        <w:gridCol w:w="271"/>
        <w:gridCol w:w="109"/>
        <w:gridCol w:w="109"/>
        <w:gridCol w:w="109"/>
        <w:gridCol w:w="211"/>
        <w:gridCol w:w="631"/>
        <w:gridCol w:w="271"/>
        <w:gridCol w:w="109"/>
        <w:gridCol w:w="109"/>
        <w:gridCol w:w="109"/>
        <w:gridCol w:w="211"/>
        <w:gridCol w:w="631"/>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margins)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(33,557)</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(deduct):</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Convertible notes fair value adjustment</w:t>
            </w:r>
            <w:r>
              <w:rPr>
                <w:rFonts w:ascii="Times New Roman;sans-serif" w:hAnsi="Times New Roman;sans-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Derivative liability fair value adjustment</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 transaction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Workplace restructuring costs</w:t>
            </w:r>
            <w:r>
              <w:rPr>
                <w:rFonts w:ascii="Times New Roman;sans-serif" w:hAnsi="Times New Roman;sans-serif"/>
                <w:b w:val="false"/>
                <w:color w:val="000000"/>
                <w:sz w:val="13"/>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Write-off of obsolete inventory</w:t>
            </w:r>
            <w:r>
              <w:rPr>
                <w:rFonts w:ascii="Times New Roman;sans-serif" w:hAnsi="Times New Roman;sans-serif"/>
                <w:b w:val="false"/>
                <w:color w:val="000000"/>
                <w:sz w:val="13"/>
              </w:rPr>
              <w:t>(4)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 in connection with membership benefit</w:t>
            </w:r>
            <w:r>
              <w:rPr>
                <w:rFonts w:ascii="Times New Roman;sans-serif" w:hAnsi="Times New Roman;sans-serif"/>
                <w:b w:val="false"/>
                <w:color w:val="000000"/>
                <w:sz w:val="13"/>
              </w:rPr>
              <w:t>(5)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Warehouse relocation costs</w:t>
            </w:r>
            <w:r>
              <w:rPr>
                <w:rFonts w:ascii="Times New Roman;sans-serif" w:hAnsi="Times New Roman;sans-serif"/>
                <w:b w:val="false"/>
                <w:color w:val="000000"/>
                <w:sz w:val="13"/>
              </w:rPr>
              <w:t>(6)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revaluation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margin</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(1)To reflect the change in fair value of the September 2021 Convertible Notes and derivative liability associated with the July 2021 Convertible Notes.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depreciation on fixed assets and amortization of acquired intangible assets.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(3)Relates to non-recurring personnel and severance related expenses in connection with the workplace restructuring announced on January 12, 2023.</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(4)Relates to the write-off of raw materials that have no alternative use to the Company following the decision to halt development.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(5)Relates to an adjustment recorded to reduce product costs recorded to cost of revenue in connection with the discontinuation of certain battery related membership benefits.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(6)Relates to non-recurring warehouse relocation costs in relation to the Company’s transition to a new logistics partner. </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GAAP to Non-GAAP Operating Expense Reconciliation</w:t>
      </w:r>
    </w:p>
    <w:p>
      <w:pPr>
        <w:pStyle w:val="TextBody"/>
        <w:bidi w:val="0"/>
        <w:spacing w:lineRule="auto" w:line="288" w:before="240" w:after="283"/>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Non-GAAP operating expenses present direct and indirect expenses adjusted for non-recurring, non-cash expenses, such as stock-based compensation, depreciation and amortization, workplace restructuring costs, write-off of obsolete inventory, and convertible notes and derivative liability fair value adjustments. Non-GAAP operating expense information is useful to investors and others in understanding and evaluating our operating efficiency as well as providing a useful measure for period-to-period comparisons of our business performance. A reconciliation of GAAP operating expenses to non-GAAP operating expenses has been provided as supplementary information below.</w:t>
      </w:r>
    </w:p>
    <w:p>
      <w:pPr>
        <w:pStyle w:val="TextBody"/>
        <w:bidi w:val="0"/>
        <w:ind w:left="0" w:right="0" w:firstLine="360"/>
        <w:jc w:val="both"/>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12283" w:type="dxa"/>
        <w:jc w:val="left"/>
        <w:tblInd w:w="0" w:type="dxa"/>
        <w:tblLayout w:type="fixed"/>
        <w:tblCellMar>
          <w:top w:w="28" w:type="dxa"/>
          <w:left w:w="28" w:type="dxa"/>
          <w:bottom w:w="28" w:type="dxa"/>
          <w:right w:w="28" w:type="dxa"/>
        </w:tblCellMar>
      </w:tblPr>
      <w:tblGrid>
        <w:gridCol w:w="549"/>
        <w:gridCol w:w="377"/>
        <w:gridCol w:w="38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Stock-based compensation,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Severance and other,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Non-GAAP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Stock-based compensation,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Severance and other,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 expense, Non-GAAP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Stock-based compensation,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Severance and other,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 Non-GAAP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Stock-based compensation, GAAP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Severance and other,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well as any amendments thereto reflected in subsequent Quarterly Reports on Form 10-Q and other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the documents we have filed with the SEC that are incorporated herein by reference, contain “forward-looking statements” within the meaning of Section 27A of the Securities Act and Section 21E of the Securities Exchange Act of 1934, as amended (the “Exchange Act”).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“may,” “might,” “will,” “could,” “would,” “should,” “expect,” “plan,” “anticipate,” “intend,” “seek,” “believe,” “estimate,” “predict,” “potential,” “continue,” “contemplate,” “possible”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further penetrate our existing member base, maintain and expand our member base, increase monetization of our member base, and leverage our core experience to expand in new use cases;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maintain the value and reputation of our brands;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plans to increase brand awareness and customer adoption of our platform through various programs and digital and broad-scale advertising;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effects of increased competition in our markets and our ability to compete effectively in our industry;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anticipated trends, developments, and challenges in our industry, business and in the markets in which we operate;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growth strategy and business plan and our ability to effectively manage our growth and meet future capital requirements;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product offerings internationally and the significance of our global opportunity;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market acceptance of our location sharing services, tracking products and digital subscription services;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increase sales of our products and services;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possibility that we increase our targeted marketing investments;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concerning relationships with third parties; including suppliers, manufacturers and fulfillment partners;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develop, and the success of, new monetization features, such as the introduction of advertisements in our app, and improve on existing features;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effects of seasonal trends and increased sales on our results of operations;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identify, recruit, and retain skilled personnel, including key members of senior management;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successfully acquire and integrate companies and assets, including Tile and Jiobit, and to expand and diversify our operations through strategic acquisitions and partnerships;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enter into a partnership with Hubble and successfully build a global finding network;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expectation regarding future financial performance, including our expectations regarding our revenue, cost of revenue, and operating expenses, and our ability to achieve or maintain future profitability;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effects of an economic downturn or economic uncertainty on consumer discretionary spending and demand for our products and services;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economic and industry trends, projected growth or trend analysis;</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use of proceeds from offerings under this prospectus and any related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and uncertainties under the heading “Risk Factors” contained in the applicable prospectus supplement, in any free writing prospectuses we may authorize for use in connection with a specific offering, and in our most recent Annual Report on Form 10-K, as updated, amended, or superseded by the risks and uncertainties described under similar headings in our subsequent Quarterly Reports on Form 10-Q and other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applicable prospectus supplement provides otherwise, we will not receive any of the proceeds from the sale of our securities by selling securityholders.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our capital stock and certain provisions of our Certificate of Incorporation and Bylaws are summaries and are qualified by reference to the Certificate of Incorporation and the Bylaws. Copies of these documents are filed with the SEC as exhibits to our registration statement, of which this prospectus forms a part.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our board of directors adopted resolutions approving, subject to stockholder approval, amendments to our Certificate of Incorporation (i) to increase the authorized number of shares of our common stock from 100,000,000 shares to 500,000,000 shares (the “Share Increase Amendment”); (ii) to authorize 50,000,000 shares of “blank check” preferred stock, issuable in one or more series (the “Preferred Stock Amendment”); (iii) to permit the chairperson of the board of directors, the board of directors, or the chief executive officer of the Company to call a special meeting of our stockholders, with the effect of removing the ability of certain stockholders to call a special meeting (the “Special Meeting Amendment”); (iv) to eliminate or limit the liability of the Company’s officers to the extent permitted under Delaware law; and (v) to add a new provision that, unless the Company selects or consents in writing to the selection of an alternative forum, the sole and exclusive forum for the resolution of any complainant asserting a cause of action arising under the Securities Act shall be the U.S. federal district courts (such amendments, collectively, “Charter Amendment Proposals”). If stockholders approve any of the Charter Amendment Proposals at our Annual Meeting of Stockholders to be held on May 30, 2024 (the “Annual Meeting”), we expect to file a certificate of amendment to our Certificate of Incorporation with the Secretary of State of the State of Delaware setting forth the amendments contemplated by any proposals that are approved by stockholders.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currently consists of 100,000,000 shares, all with a par value $0.001 per share, all of which are designated as common stock. As of March 31, 2024, we had 69,440,062 shares of our common stock outstanding, including all shares of our common stock underlying all issued and outstanding CDIs.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our board of directors adopted resolutions approving, subject to stockholder approval, (i) the Share Increase Amendment and (ii) the Preferred Stock Amendment. The Preferred Stock Amendment is conditional on each of (i) the approval and effectiveness of the Share Increase Amendment, (ii) the consummation of a public offering of our common stock and related listing on a national securities exchange in the United States, if any, and (iii) changing our admission category on the ASX to a “Foreign Exempt Listing,” such change to admission category being subject to the listing rules of the ASX that govern the admission, quotation and removal of securities from the ASX official list, as amended from time to time (such conditions, the “Preferred Stock Amendment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stockholders approve the Share Increase Amendment and Preferred Stock Amendment at the Annual Meeting and subject to the satisfaction of the Preferred Stock Amendment Conditions, our authorized capital stock will consist of 550,000,000 shares, all with a par value of $0.001 per share, of which: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500,000,000 shares will be designated as common stock;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50,000,000 shares will be designated as preferred stock.</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Voting Rights</w:t>
      </w:r>
      <w:r>
        <w:rPr>
          <w:rFonts w:ascii="Times New Roman;sans-serif" w:hAnsi="Times New Roman;sans-serif"/>
          <w:b w:val="false"/>
          <w:color w:val="000000"/>
          <w:sz w:val="20"/>
        </w:rPr>
        <w:t>. Each holder of our common stock is entitled to one vote for each share of common stock held on all matters submitted to a vote of stockholders, except as otherwise expressly provided in our Certificate of Incorporation or required by applicable law. Holders of our CDIs are entitled to one vote for every three CDIs they hold. Cumulative voting for the election of directors is not provided for in our Certificate of Incorporation, which means that the directors then standing for election can be elected by a plurality of votes of shares of common stock cast at the election.</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Dividends and Distributions.</w:t>
      </w:r>
      <w:r>
        <w:rPr>
          <w:color w:val="000000"/>
        </w:rPr>
        <w:t xml:space="preserve"> </w:t>
      </w:r>
      <w:r>
        <w:rPr>
          <w:rFonts w:ascii="Times New Roman;sans-serif" w:hAnsi="Times New Roman;sans-serif"/>
          <w:b w:val="false"/>
          <w:color w:val="000000"/>
          <w:sz w:val="20"/>
        </w:rPr>
        <w:t xml:space="preserve">Subject to preferences that may apply to any shares of preferred stock outstanding at the time, if approved, or any prior rights that may apply to shares of our common stock outstanding at the time,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outstanding shares of our common stock are entitled to receive dividends out of funds legally available at the times and in the amounts that our board of directors may determine. We do not anticipate paying any cash dividends in the foreseeable future.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Liquidation Rights.</w:t>
      </w:r>
      <w:r>
        <w:rPr>
          <w:color w:val="000000"/>
        </w:rPr>
        <w:t xml:space="preserve"> </w:t>
      </w:r>
      <w:r>
        <w:rPr>
          <w:rFonts w:ascii="Times New Roman;sans-serif" w:hAnsi="Times New Roman;sans-serif"/>
          <w:b w:val="false"/>
          <w:color w:val="000000"/>
          <w:sz w:val="20"/>
        </w:rPr>
        <w:t>Upon our liquidation, dissolution or winding-up, the assets legally available for distribution to our stockholders would be distributable ratably among the holders of our common stock and, if approved, any participating preferred stock outstanding at that time after payment of liquidation preferences, if any, on any outstanding shares of preferred stock and payment of other claims of creditors.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preferences, and privileges of holders of our common stock are subject to, and may be adversely affected by, the rights of holders of shares of any series of preferred stock that we may designate and issue in the future, if approved.</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Preemptive or Similar Rights</w:t>
      </w:r>
      <w:r>
        <w:rPr>
          <w:rFonts w:ascii="Times New Roman;sans-serif" w:hAnsi="Times New Roman;sans-serif"/>
          <w:b w:val="false"/>
          <w:color w:val="000000"/>
          <w:sz w:val="20"/>
        </w:rPr>
        <w:t>. Our common stock is not entitled to preemptive rights and is not subject to conversion, redemption or sinking fund provisions.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stockholders approve the Share Increase Amendment and Preferred Stock Amendment at the Annual Meeting and subject to the satisfaction of the Preferred Stock Amendment Conditions,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these holders will receive dividend payments and payments upon liquidation. In addition, the issuance of preferred stock could have the effect of delaying, deferring or preventing a change of control or other corporate action. We have no present plan to issue any shares of preferred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fix the designations, voting powers, preferences and rights of the preferred stock of each series we issue under this prospectus, as well as the qualifications, limitations or restrictions thereof, in the certificate of designation relating to that series. If stockholders approve the Share Increase Amendment and Preferred Stock Amendment at the Annual Meeting and subject to the satisfaction of the Preferred Stock Amendment Conditions, we will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title and stated value;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of shares we are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liquidation preference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purchase price;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dividend rate, period and payment date and method of calculation for dividends;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dividends will be cumulative or non-cumulative and, if cumulative, the date from which dividends will accumulate;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procedures for any auction and remarketing, if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provisions for a sinking fund, if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provisions for redemption or repurchase, if applicable, and any restrictions on our ability to exercise those redemption and repurchase rights;</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listing of the preferred stock on any securities exchange or market;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preferred stock will be convertible into our common stock, and, if applicable, the conversion price, or how it will be calculated, and the conversion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preferred stock will be exchangeable into debt securities, and, if applicable, the exchange price, or how it will be calculated, and the exchange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voting rights of the preferred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preemptive rights,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transfer, sale or other assignment;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interests in the preferred stock will be represented by depositary shares;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discussion of material United States federal income tax considerations applicable to the preferred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relative ranking and preferences of the preferred stock as to dividend rights and rights if we liquidate, dissolve or wind up our affairs;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limitations on the issuance of any class or series of preferred stock ranking senior to or on a parity with the series of preferred stock as to dividend rights and rights if we liquidate, dissolve or wind up our affairs;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specific terms, preferences, rights or limitations of, or restrictions on, the preferred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CHESS Depositary Interests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are traded on the ASX in the form of CDIs, under the ASX trading code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CDN, an Australian depositary nominee.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 number of differences between holding CDIs and shares of our common stock. The major differences are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CDI holders do not have legal title in the underlying shares of our common stock to which the CDIs relate (the chain of title in the shares underlying the CDIs is summarized above);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CDI holders are not able to vote personally as stockholders at a meeting of Life360. Instead, CDI holders are provided with a voting instruction form which will enable them to instruct the depositary nominee in relation to the exercise of voting rights.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CDI holders can transmute their CDIs into shares of our common stock in sufficient time before the relevant meeting, in which case they will be able to vote personally as stockholders of Life360.</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provisions of Delaware law, our Certificate of Incorporation, including if further amended by any of the Charter Amendment Proposals, and Bylaws, contain provisions that could make the following transactions more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a special meeting of stockholders may be called by our board of directors, the chairperson of our board of directors, chief executive officer, president, or by one or more stockholders holding shares in the aggregate entitled to cast not less than 10 percent of the votes at the meeting.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stockholders approve the Special Meeting Amendment, our Bylaws will be amended to remove the ability of certain stockholders to call a special meeting.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establish advance notice procedures with respect to the nomination of candidates for election as directors, other than nominations made by or at the direction of the board of directors or a committee of the board of directors.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Removal of Directors; Vacancies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board of directors may be removed from office for cause by a majority of our stockholders. In addition, the Bylaws provide that any newly created directorship on our board of directors that results from an increase in the number of directors and any vacancy occurring on our board of directors may only be filled by a majority of the directors then in office, although less than a quorum, or by a sole remaining director (and not by the stockholders).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Delaware General Corporation Law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before such date, the board of directors of the corporation approved either the business combination or the transaction that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business combination to include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sale, transfer, pledge or other disposition of 10% or more of the assets of the corporation involving the interested stockholder;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subject to certain exceptions, any transaction that results in the issuance or transfer by the corporation of any stock of the corporation to the interested stockholder;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receipt by the interested stockholder of the benefit of any loss, advances, guarantees, pledges or other financial benefits by or through the corporation.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Listing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ASX under the symbol “360” in the form of CDIs. The applicable prospectus supplement will contain information, where applicable, as to other listings, if any, on any other securities exchange of the securities covered by the applicable prospectus supplement.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may be offered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debt securities being offered,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title of the series of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limit upon the aggregate principal amount that may be issued;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maturity date or 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form of the debt securities of the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applicability of any guarantees;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debt securities rank as senior debt, senior subordinated debt, subordinated debt or any combination thereof, and the terms of any subordination;</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the price (expressed as a percentage of the aggregate principal amount thereof) at which such debt securities will be issued is a price other than the principal amount thereof, the portion of the principal;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amount thereof payable upon declaration of acceleration of the maturity thereof, or if applicable, the portion of the principal amount of such debt securities that is convertible into another security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right, if any, to defer payment of interest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denominations in which we will issue the series of debt securities,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debt securities of the series shall be issued in whole or in part in the form of a global security or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other than the full principal amount thereof, the portion of the principal amount of debt securities of the series which shall be payable upon declaration of acceleration of the maturity thereof;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to or changes in the covenants applicable to the particular debt securities being issued, including, among others, the consolidation, merger or sale covenant;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to or changes in or deletions of the provisions relating to covenant defeasance and legal defeasance;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to or changes in the provisions relating to satisfaction and discharge of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to or changes in the provisions relating to the modification of the indenture both with and without the consent of holders of debt securities issued under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currency of payment of debt securities if other than U.S. dollars and the manner of determining the equivalent amount in U.S. dollars;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interest will be payable in cash or additional debt securities at our or the holders’ option and the terms and conditions upon which the election may be made;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and conditions, if any, upon which we will pay amounts in addition to the stated interest, premium, if any and principal amounts of the debt securities of the series to any holder that is not a “United States person” for federal tax purposes;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restrictions on transfer, sale or assignment of the debt securities of the series;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Conversion or Exchange Rights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Consolidation, Merger or Sale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Events of Default under the Indenture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specified events of bankruptcy, insolvency or reorganization occur.</w:t>
      </w: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the debt securities of any series will have the right to institute a proceeding under the indenture or to appoint a receiver or trustee, or to seek other remedies only if: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holder has given written notice to the trustee of a continuing event of default with respect to that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holders of at least 25% in aggregate principal amount of the outstanding debt securities of that series have made written request;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such holders have offered to the trustee indemnity satisfactory to it against the costs, expenses and liabilities to be incurred by the trustee in compliance with the request;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limitations do not apply to a suit instituted by a holder of debt securities if we default in the payment of the principal, premium, if any, or interest on, the debt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periodically file statements with the trustee regarding our compliance with specified covenants in the indenture.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Modification of Indenture; Waiver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trustee may change an indenture without the consent of any holders with respect to specific matters: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cure any ambiguity, defect or inconsistency in the indenture or in the debt securities of any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the provisions described above under “Description of Debt Securities—Consolidation, Merger or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provide for uncertificated debt securities in addition to or in place of certificated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to add to our covenants, restrictions, conditions or provisions such new covenants, restrictions, conditions or provisions for the benefit of the holders of all or any series of debt securities;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make the occurrence, or the occurrence and the continuance, of a default in any such additional covenants, restrictions, conditions or provisions an event of default or to surrender any right or power conferred upon us in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evidence and provide for the acceptance of appointment under any indenture by a successor trustee;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extending the fixed maturity of any debt securities of any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Discharge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indenture provides that we can elect to be discharged from our obligations with respect to one or more series of debt securities, except for specified obligations, including obligations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for payment;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register the transfer or exchange of debt securities of the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replace stolen, lost or mutilated debt securities of the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pay principal of and premium and interest on any debt securities of the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 paying agencies;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hold monies for payment in trust;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recover excess money held by the trustee;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compensate and indemnify the trustee;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appoint any successor trustee.</w:t>
      </w: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Form, Exchange and Transfer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elect to redeem the debt securities of any series, we will not be required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register the transfer of or exchange any debt securities so selected for redemption, in whole or in part, except the unredeemed portion of any debt securities we are redeeming in part.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Information Concerning the Trustee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Payment and Paying Agents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will be governed by and construed in accordance with the internal laws of the State of New York, except to the extent that the Trust Indenture Act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warrants being offered,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offering price and aggregate number of warrants offered;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currency for which the warrants may be purchased;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any merger, consolidation, sale or other disposition of our business on the warrant agreements and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of any rights to redeem or call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dates on which the right to exercise the warrants will commence and expire;</w:t>
      </w: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manner in which the warrant agreements and warrants may be modified;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discussion of any material or special U.S. federal income tax considerations of holding or exercising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terms of the securities issuable upon exercise of the warrants;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specific terms, preferences, rights or limitations of or restrictions on the warrants.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Exercise of Warrants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Enforceability of Rights by Holders of Warrants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OWNERSHIP OF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Book-Entry 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Street Name 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Legal 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w:t>
      </w: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Special Considerations For Indirect 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securities through a bank, broker or other financial institution, either in book-entry form or in street name, you should check with your own institution to find out: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how it handles securities payments and notices;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it imposes fees or charges;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how it would handle a request for the holders’ consent, if ever required;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and how you can instruct it to send you securities registered in your own name so you can be a holder, if that is permitted in the future;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Special Considerations For Global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issued only in the form of a global security, an investor should be aware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depositary’s policies, which may change from time to time, will govern payments, transfers, exchanges and other matters relating to an investor’s interest in a global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Special Situations When a Global Security Will Be Terminated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applicable prospectus supplement, the global security will terminate when the following special situations occur: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notify any applicable trustee that we wish to terminate that global security;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SELLING SECURITYHOLDERS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securityholders are persons or entities that, directly or indirectly, have acquired or will from time to time acquire from us, our securities. The initial purchasers of our securities, as well as their transferees, pledgees, donees or successors, all of whom we refer to as “selling securityholders,” may from time to time offer and sell the securities pursuant to this prospectus and any applicable prospectus supplement.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through agents, or directly to one or more purchasers. We or selling securityholders may distribute securities from time to time in one or more transactions: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name or names of the underwriters, dealers, agents or other purchasers,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name or names of the or selling securityholders,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purchase price of the securities or other consideration therefor, and the proceeds, if any, we will receive from the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options to purchase additional shares or other options under which underwriters may purchase additional securities from us or selling securityholders;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securities exchange or market on which the securities may be listed.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or selling securityholders may use underwriters, dealers or agents with whom we have a material relationship. We will describe in the prospectus supplement, naming the underwriter, dealer or agent, the nature of any such relationship.</w:t>
      </w:r>
    </w:p>
    <w:p>
      <w:pPr>
        <w:pStyle w:val="TextBody"/>
        <w:bidi w:val="0"/>
        <w:spacing w:before="0" w:after="18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sell securities directly or through agents we designate from time to time. We will name any agent involved in the offering and sale of securities and we will describe any commissions we or selling securityholders will pay the agent in the prospectus supplement. Unless the prospectus supplement states otherwise, our agent will act on a best-efforts basis for the period of its appointment.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authorize agents, dealers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may engage in transactions with, or perform services for, us in the ordinary course of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securityholders may be deemed to be underwriters under the Securities Act in connection with the securities they resell and any profits on the sales may be deemed to be underwriting discounts and commissions under the Securities Act.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securities we may offer, other than our CDIs that trade on the ASX,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Any underwriter may be granted an option to purchase additional shares, and engage in stabilizing transactions, short-covering transactions and penalty bids in accordance with Regulation M under the Exchange Act and subject to any applicable requirements of the Australian </w:t>
      </w:r>
      <w:r>
        <w:rPr>
          <w:rFonts w:ascii="Times New Roman;sans-serif" w:hAnsi="Times New Roman;sans-serif"/>
          <w:b w:val="false"/>
          <w:i/>
          <w:color w:val="000000"/>
          <w:sz w:val="20"/>
        </w:rPr>
        <w:t>Corporations Act</w:t>
      </w:r>
      <w:r>
        <w:rPr>
          <w:rFonts w:ascii="Times New Roman;sans-serif" w:hAnsi="Times New Roman;sans-serif"/>
          <w:b w:val="false"/>
          <w:color w:val="000000"/>
          <w:sz w:val="20"/>
        </w:rPr>
        <w:t>. An underwriter’s option to purchase additional shares involves sales in excess of the offering size, which create a short position. Stabilizing transactions permit bids to purchase the underlying security so long as the stabilizing bids are the lower of the National Best Bid and the lowest price payable by institutions under the offer.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underwriters, dealers or agents that are qualified market makers on the applicable stock exchange may engage in passive market making transactions in the common stock on such stock exchange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Life360, Inc. as of December 31, 2023, and for the year in the period ended December 31, 2023, incorporated by reference in this Prospectus, and the effectiveness of Life360,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as of December 31, 2022 and 2021 and for the years then ended incorporated by reference in this prospectus have been so incorporated in reliance on the report of BDO USA, LLP (n/k/a BDO USA, P.C.), an independent registered public accounting firm, incorporated herein by reference,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can read our SEC filings, including the registration statement, over the internet at the SEC’s website at www.sec.gov. The ASX maintains a website that contains documents required under Australian securities laws and other information regarding our filings at www.asx.com.au.</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information reporting requirements of the Exchange Act and we file reports, proxy statements, and other information with the SEC. These reports, proxy statements, and other information are available for inspection and copying at the website of the SEC referred to above. We also maintain a website at www.life360.com,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on our website to be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000-56424):</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Annual Report on Form 10-K for the year ended December 31, 2023, filed with the SEC on </w:t>
      </w:r>
      <w:hyperlink r:id="rId10">
        <w:r>
          <w:rPr>
            <w:rStyle w:val="InternetLink"/>
            <w:rFonts w:ascii="Times New Roman;sans-serif" w:hAnsi="Times New Roman;sans-serif"/>
            <w:b w:val="false"/>
            <w:color w:val="0000FF"/>
            <w:sz w:val="20"/>
            <w:u w:val="single"/>
          </w:rPr>
          <w:t>February 29, 2024</w:t>
        </w:r>
      </w:hyperlink>
      <w:r>
        <w:rPr>
          <w:color w:val="000000"/>
        </w:rPr>
        <w:t xml:space="preserve"> </w:t>
      </w:r>
      <w:r>
        <w:rPr>
          <w:rFonts w:ascii="Times New Roman;sans-serif" w:hAnsi="Times New Roman;sans-serif"/>
          <w:b w:val="false"/>
          <w:color w:val="000000"/>
          <w:sz w:val="20"/>
        </w:rPr>
        <w:t xml:space="preserve">(the “2023 Form 10-K”);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information specifically incorporated by reference into our 2023 Form 10-K from our definitive proxy statement relating to our 2024 annual meeting of stockholders, filed with the SEC on </w:t>
      </w:r>
      <w:hyperlink r:id="rId11">
        <w:r>
          <w:rPr>
            <w:rStyle w:val="InternetLink"/>
          </w:rPr>
          <w:t xml:space="preserve">April </w:t>
        </w:r>
      </w:hyperlink>
      <w:hyperlink r:id="rId12">
        <w:r>
          <w:rPr>
            <w:rStyle w:val="InternetLink"/>
          </w:rPr>
          <w:t>16</w:t>
        </w:r>
      </w:hyperlink>
      <w:hyperlink r:id="rId13">
        <w:r>
          <w:rPr>
            <w:rStyle w:val="InternetLink"/>
          </w:rPr>
          <w:t>, 2024</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description of our common stock set forth in Item 11 to our Amendment No. 2 to Registration Statement on Form 10, filed with the Commission on </w:t>
      </w:r>
      <w:r>
        <w:fldChar w:fldCharType="begin"/>
      </w:r>
      <w:r>
        <w:rPr>
          <w:rStyle w:val="InternetLink"/>
          <w:sz w:val="20"/>
          <w:u w:val="single"/>
          <w:b w:val="false"/>
          <w:rFonts w:ascii="Times New Roman;sans-serif" w:hAnsi="Times New Roman;sans-serif"/>
          <w:color w:val="0000FF"/>
        </w:rPr>
        <w:instrText xml:space="preserve"> HYPERLINK "https://www.sec.gov/Archives/edgar/data/1581760/000119312522187348/d328928d1012ga.htm" \l "rom328928_12"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July 5, 2022</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pursuant to Section 12(g) of the Exchange Act, including any amendment or report filed for the purpose of updating such description, including </w:t>
      </w:r>
      <w:hyperlink r:id="rId14">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of the 2023 Form 10-K.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1900 South Norfolk Street, Suite 310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San Mateo, California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(415) 484-5244</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14. Other Expenses of Issuance and Distribution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estimate of the fees and expenses, other than the underwriting discounts and commissions, payable by the registrant in connection with the issuance and distribution of the securities being registered.</w:t>
      </w:r>
    </w:p>
    <w:tbl>
      <w:tblPr>
        <w:tblW w:w="5328" w:type="dxa"/>
        <w:jc w:val="left"/>
        <w:tblInd w:w="0" w:type="dxa"/>
        <w:tblLayout w:type="fixed"/>
        <w:tblCellMar>
          <w:top w:w="28" w:type="dxa"/>
          <w:left w:w="28" w:type="dxa"/>
          <w:bottom w:w="28" w:type="dxa"/>
          <w:right w:w="28" w:type="dxa"/>
        </w:tblCellMar>
      </w:tblPr>
      <w:tblGrid>
        <w:gridCol w:w="1382"/>
        <w:gridCol w:w="1211"/>
        <w:gridCol w:w="1217"/>
        <w:gridCol w:w="211"/>
        <w:gridCol w:w="826"/>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registration fee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listing fee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FINRA filing fee (if applicable)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fees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 fees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agent and registrar fees and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Printing and miscellaneous fees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 accordance with Rules 456(b) and 457(r), the registrant is deferring payment of all applicable registration fees for the securities offered by this prospectus.</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15. Indemnification of Directors and Officers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breach of the director’s duty of loyalty to us or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DGCL;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transaction from which they derived an improper personal benefit.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bylaws provide that we are required to indemnify our directors and executive officers, in each case to the fullest extent permitted by Delaware law. Our bylaws also provide that we are obligated to advance expenses incurred by a director or executive officer in advance of the final </w:t>
      </w:r>
    </w:p>
    <w:p>
      <w:pPr>
        <w:pStyle w:val="TextBody"/>
        <w:bidi w:val="0"/>
        <w:spacing w:before="0" w:after="18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disposition of any action or proceeding, and permit us to secure insurance on behalf of any executive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underwriting agreement that we may enter into (Exhibit 1.1) may provide for indemnification by any of our underwriters, our directors, our officers who sign the registration statement and controlling persons for some liabilities, including liabilities arising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Exhibits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342"/>
        <w:gridCol w:w="1193"/>
        <w:gridCol w:w="1147"/>
        <w:gridCol w:w="109"/>
        <w:gridCol w:w="109"/>
        <w:gridCol w:w="109"/>
        <w:gridCol w:w="203"/>
        <w:gridCol w:w="203"/>
        <w:gridCol w:w="204"/>
        <w:gridCol w:w="109"/>
        <w:gridCol w:w="109"/>
        <w:gridCol w:w="109"/>
        <w:gridCol w:w="255"/>
        <w:gridCol w:w="255"/>
        <w:gridCol w:w="257"/>
        <w:gridCol w:w="109"/>
        <w:gridCol w:w="109"/>
        <w:gridCol w:w="109"/>
        <w:gridCol w:w="275"/>
        <w:gridCol w:w="275"/>
        <w:gridCol w:w="276"/>
        <w:gridCol w:w="109"/>
        <w:gridCol w:w="109"/>
        <w:gridCol w:w="109"/>
        <w:gridCol w:w="325"/>
        <w:gridCol w:w="246"/>
        <w:gridCol w:w="248"/>
        <w:gridCol w:w="109"/>
        <w:gridCol w:w="109"/>
        <w:gridCol w:w="109"/>
        <w:gridCol w:w="242"/>
        <w:gridCol w:w="242"/>
        <w:gridCol w:w="34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0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Appendix</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0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Underwriting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180"/>
              <w:ind w:left="0" w:right="0" w:firstLine="360"/>
              <w:jc w:val="both"/>
              <w:rPr/>
            </w:pPr>
            <w:r>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180"/>
              <w:ind w:left="0" w:right="0" w:firstLine="360"/>
              <w:jc w:val="both"/>
              <w:rPr/>
            </w:pPr>
            <w:r>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17">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18">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Specimen Preferred Stock Certificate and Form of Certificate of Designation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43-sx3asr.htm">
              <w:r>
                <w:rPr>
                  <w:rStyle w:val="InternetLink"/>
                  <w:rFonts w:ascii="Times New Roman;sans-serif" w:hAnsi="Times New Roman;sans-serif"/>
                  <w:b w:val="false"/>
                  <w:color w:val="0000FF"/>
                  <w:sz w:val="20"/>
                  <w:u w:val="single"/>
                </w:rPr>
                <w:t>Form of Debt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180"/>
              <w:ind w:left="0" w:right="0" w:firstLine="360"/>
              <w:jc w:val="both"/>
              <w:rPr/>
            </w:pPr>
            <w:r>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45-sx3asr.htm">
              <w:r>
                <w:rPr>
                  <w:rStyle w:val="InternetLink"/>
                  <w:rFonts w:ascii="Times New Roman;sans-serif" w:hAnsi="Times New Roman;sans-serif"/>
                  <w:b w:val="false"/>
                  <w:color w:val="0000FF"/>
                  <w:sz w:val="20"/>
                  <w:u w:val="single"/>
                </w:rPr>
                <w:t>Form of Common Stock Warrant Agreement and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46-sx3asr.htm">
              <w:r>
                <w:rPr>
                  <w:rStyle w:val="InternetLink"/>
                  <w:rFonts w:ascii="Times New Roman;sans-serif" w:hAnsi="Times New Roman;sans-serif"/>
                  <w:b w:val="false"/>
                  <w:color w:val="0000FF"/>
                  <w:sz w:val="20"/>
                  <w:u w:val="single"/>
                </w:rPr>
                <w:t>Form of Preferred Stock Warrant Agreement and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47-sx3asr.htm">
              <w:r>
                <w:rPr>
                  <w:rStyle w:val="InternetLink"/>
                  <w:rFonts w:ascii="Times New Roman;sans-serif" w:hAnsi="Times New Roman;sans-serif"/>
                  <w:b w:val="false"/>
                  <w:color w:val="0000FF"/>
                  <w:sz w:val="20"/>
                  <w:u w:val="single"/>
                </w:rPr>
                <w:t>Form of Debt Securities Warrant Agreement and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51-sx3asr.htm">
              <w:r>
                <w:rPr>
                  <w:rStyle w:val="InternetLink"/>
                  <w:rFonts w:ascii="Times New Roman;sans-serif" w:hAnsi="Times New Roman;sans-serif"/>
                  <w:b w:val="false"/>
                  <w:color w:val="0000FF"/>
                  <w:sz w:val="20"/>
                  <w:u w:val="single"/>
                </w:rPr>
                <w:t>Opinion of Cooley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asr.htm">
              <w:r>
                <w:rPr>
                  <w:rStyle w:val="InternetLink"/>
                  <w:rFonts w:ascii="Times New Roman;sans-serif" w:hAnsi="Times New Roman;sans-serif"/>
                  <w:b w:val="false"/>
                  <w:color w:val="000080"/>
                  <w:sz w:val="20"/>
                  <w:u w:val="single"/>
                </w:rPr>
                <w:t xml:space="preserve">Consent of BDO USA, </w:t>
              </w:r>
            </w:hyperlink>
            <w:hyperlink w:anchor="exhibit231-sx3asr.htm">
              <w:r>
                <w:rPr>
                  <w:rStyle w:val="InternetLink"/>
                  <w:rFonts w:ascii="Times New Roman;sans-serif" w:hAnsi="Times New Roman;sans-serif"/>
                  <w:b w:val="false"/>
                  <w:color w:val="000080"/>
                  <w:sz w:val="20"/>
                  <w:u w:val="single"/>
                </w:rPr>
                <w:t>P.C</w:t>
              </w:r>
            </w:hyperlink>
            <w:hyperlink w:anchor="exhibit231-sx3asr.htm">
              <w:r>
                <w:rPr>
                  <w:rStyle w:val="InternetLink"/>
                  <w:rFonts w:ascii="Times New Roman;sans-serif" w:hAnsi="Times New Roman;sans-serif"/>
                  <w:b w:val="false"/>
                  <w:color w:val="000080"/>
                  <w:sz w:val="20"/>
                  <w:u w:val="single"/>
                </w:rPr>
                <w:t>.</w:t>
              </w:r>
            </w:hyperlink>
            <w:hyperlink w:anchor="exhibit231-sx3asr.htm">
              <w:r>
                <w:rPr>
                  <w:rStyle w:val="InternetLink"/>
                  <w:rFonts w:ascii="Times New Roman;sans-serif" w:hAnsi="Times New Roman;sans-serif"/>
                  <w:b w:val="false"/>
                  <w:color w:val="000080"/>
                  <w:sz w:val="20"/>
                  <w:u w:val="single"/>
                </w:rPr>
                <w:t>,</w:t>
              </w:r>
            </w:hyperlink>
            <w:hyperlink w:anchor="exhibit231-sx3asr.htm">
              <w:r>
                <w:rPr>
                  <w:rStyle w:val="InternetLink"/>
                  <w:rFonts w:ascii="Times New Roman;sans-serif" w:hAnsi="Times New Roman;sans-serif"/>
                  <w:b w:val="false"/>
                  <w:color w:val="000080"/>
                  <w:sz w:val="20"/>
                  <w:u w:val="single"/>
                </w:rPr>
                <w:t xml:space="preserve">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2-sx3asr.htm">
              <w:r>
                <w:rPr>
                  <w:rStyle w:val="InternetLink"/>
                  <w:rFonts w:ascii="Times New Roman;sans-serif" w:hAnsi="Times New Roman;sans-serif"/>
                  <w:b w:val="false"/>
                  <w:color w:val="0000FF"/>
                  <w:sz w:val="20"/>
                  <w:u w:val="single"/>
                </w:rPr>
                <w:t>Consent of Deloitte &amp; Touche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51-sx3asr.htm">
              <w:r>
                <w:rPr>
                  <w:rStyle w:val="InternetLink"/>
                  <w:rFonts w:ascii="Times New Roman;sans-serif" w:hAnsi="Times New Roman;sans-serif"/>
                  <w:b w:val="false"/>
                  <w:color w:val="0000FF"/>
                  <w:sz w:val="20"/>
                  <w:u w:val="single"/>
                </w:rPr>
                <w:t>Consent of Cooley LLP (See Exhibit 5.1)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d8f47588ab34ea6b7bfc195f639a32a_972">
              <w:r>
                <w:rPr>
                  <w:rStyle w:val="InternetLink"/>
                  <w:rFonts w:ascii="Times New Roman;sans-serif" w:hAnsi="Times New Roman;sans-serif"/>
                  <w:b w:val="false"/>
                  <w:color w:val="0000FF"/>
                  <w:sz w:val="20"/>
                  <w:u w:val="single"/>
                </w:rPr>
                <w:t>Power of Attorney (See signature page)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Eligibility of Trustee under the Debt Indenture (to be filed separately under the electronic form type 305B2,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180"/>
              <w:ind w:left="0" w:right="0" w:firstLine="360"/>
              <w:jc w:val="both"/>
              <w:rPr/>
            </w:pPr>
            <w:r>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w10:wrap type="none"/>
              </v:rect>
            </w:pict>
          </mc:Fallback>
        </mc:AlternateContent>
      </w:r>
    </w:p>
    <w:tbl>
      <w:tblPr>
        <w:tblW w:w="824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499"/>
        <w:gridCol w:w="499"/>
        <w:gridCol w:w="501"/>
        <w:gridCol w:w="109"/>
        <w:gridCol w:w="109"/>
        <w:gridCol w:w="109"/>
        <w:gridCol w:w="170"/>
        <w:gridCol w:w="170"/>
        <w:gridCol w:w="171"/>
        <w:gridCol w:w="109"/>
        <w:gridCol w:w="109"/>
        <w:gridCol w:w="109"/>
        <w:gridCol w:w="334"/>
        <w:gridCol w:w="334"/>
        <w:gridCol w:w="336"/>
        <w:gridCol w:w="109"/>
        <w:gridCol w:w="109"/>
        <w:gridCol w:w="109"/>
        <w:gridCol w:w="275"/>
        <w:gridCol w:w="275"/>
        <w:gridCol w:w="276"/>
        <w:gridCol w:w="109"/>
        <w:gridCol w:w="109"/>
        <w:gridCol w:w="109"/>
        <w:gridCol w:w="304"/>
        <w:gridCol w:w="304"/>
        <w:gridCol w:w="306"/>
        <w:gridCol w:w="109"/>
        <w:gridCol w:w="109"/>
        <w:gridCol w:w="109"/>
        <w:gridCol w:w="242"/>
        <w:gridCol w:w="242"/>
        <w:gridCol w:w="34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0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Appendix</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Reference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6" w:space="0" w:color="000000"/>
              <w:bottom w:val="sing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7-sx3asr.htm">
              <w:r>
                <w:rPr>
                  <w:rStyle w:val="InternetLink"/>
                  <w:rFonts w:ascii="Times New Roman;sans-serif" w:hAnsi="Times New Roman;sans-serif"/>
                  <w:b w:val="false"/>
                  <w:color w:val="0000FF"/>
                  <w:sz w:val="20"/>
                  <w:u w:val="single"/>
                </w:rPr>
                <w:t>Filing Fee Table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*To be filed by amendment or as an exhibit to a Current Report on Form 8-K and incorporated herein by reference,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17. Undertakings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registrant hereby undertakes: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(4)That, for the purpose of determining liability under the Securities Act of 1933 to any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w:t>
      </w:r>
    </w:p>
    <w:p>
      <w:pPr>
        <w:pStyle w:val="TextBody"/>
        <w:bidi w:val="0"/>
        <w:spacing w:before="0" w:after="18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w:t>
      </w:r>
    </w:p>
    <w:p>
      <w:pPr>
        <w:pStyle w:val="TextBody"/>
        <w:bidi w:val="0"/>
        <w:spacing w:before="0" w:after="18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Mateo, State of California, on May 9, 2024.</w:t>
      </w:r>
    </w:p>
    <w:tbl>
      <w:tblPr>
        <w:tblW w:w="2750" w:type="dxa"/>
        <w:jc w:val="right"/>
        <w:tblInd w:w="0" w:type="dxa"/>
        <w:tblLayout w:type="fixed"/>
        <w:tblCellMar>
          <w:top w:w="28" w:type="dxa"/>
          <w:left w:w="28" w:type="dxa"/>
          <w:bottom w:w="28" w:type="dxa"/>
          <w:right w:w="28" w:type="dxa"/>
        </w:tblCellMar>
      </w:tblPr>
      <w:tblGrid>
        <w:gridCol w:w="247"/>
        <w:gridCol w:w="217"/>
        <w:gridCol w:w="217"/>
        <w:gridCol w:w="604"/>
        <w:gridCol w:w="604"/>
        <w:gridCol w:w="861"/>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7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Chris Hulls </w:t>
            </w:r>
          </w:p>
        </w:tc>
      </w:tr>
      <w:tr>
        <w:trPr/>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ind w:left="0" w:right="0" w:firstLine="360"/>
        <w:jc w:val="both"/>
        <w:rPr/>
      </w:pPr>
      <w:r>
        <w:rPr>
          <w:rFonts w:ascii="Times New Roman;sans-serif" w:hAnsi="Times New Roman;sans-serif"/>
          <w:b/>
          <w:color w:val="000000"/>
          <w:sz w:val="20"/>
        </w:rPr>
        <w:t xml:space="preserve">KNOW ALL PERSONS BY THESE PRESENTS, </w:t>
      </w:r>
      <w:r>
        <w:rPr>
          <w:rFonts w:ascii="Times New Roman;sans-serif" w:hAnsi="Times New Roman;sans-serif"/>
          <w:b w:val="false"/>
          <w:color w:val="000000"/>
          <w:sz w:val="20"/>
        </w:rPr>
        <w:t>that each person whose signature appears below constitutes and appoints Chris Hulls and Russell Burke,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Life360,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below by the following persons in the capacities and on the dates indicated.</w:t>
      </w:r>
    </w:p>
    <w:tbl>
      <w:tblPr>
        <w:tblW w:w="7702"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269"/>
        <w:gridCol w:w="1269"/>
        <w:gridCol w:w="1286"/>
        <w:gridCol w:w="109"/>
        <w:gridCol w:w="109"/>
        <w:gridCol w:w="109"/>
        <w:gridCol w:w="344"/>
        <w:gridCol w:w="344"/>
        <w:gridCol w:w="496"/>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Philip Coghlan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Philip Coghlan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Goines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Goines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Alex Haro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Alex Haro</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Brit Morin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Brit Morin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Charles (CJ) Prober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James Synge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Synge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David Wiadrowski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Wiadrowski</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Randi Zuckerberg</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Randi Zuckerberg</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S-3</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LIFE360, INC.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1 – Newly Registered and Carry Forward Securities</w:t>
      </w:r>
    </w:p>
    <w:tbl>
      <w:tblPr>
        <w:tblW w:w="10205" w:type="dxa"/>
        <w:jc w:val="left"/>
        <w:tblInd w:w="0" w:type="dxa"/>
        <w:tblLayout w:type="fixed"/>
        <w:tblCellMar>
          <w:top w:w="28" w:type="dxa"/>
          <w:left w:w="28" w:type="dxa"/>
          <w:bottom w:w="28" w:type="dxa"/>
          <w:right w:w="28" w:type="dxa"/>
        </w:tblCellMar>
      </w:tblPr>
      <w:tblGrid>
        <w:gridCol w:w="375"/>
        <w:gridCol w:w="328"/>
        <w:gridCol w:w="333"/>
        <w:gridCol w:w="219"/>
        <w:gridCol w:w="219"/>
        <w:gridCol w:w="223"/>
        <w:gridCol w:w="1175"/>
        <w:gridCol w:w="1175"/>
        <w:gridCol w:w="1191"/>
        <w:gridCol w:w="507"/>
        <w:gridCol w:w="507"/>
        <w:gridCol w:w="509"/>
        <w:gridCol w:w="245"/>
        <w:gridCol w:w="245"/>
        <w:gridCol w:w="246"/>
        <w:gridCol w:w="235"/>
        <w:gridCol w:w="235"/>
        <w:gridCol w:w="236"/>
        <w:gridCol w:w="240"/>
        <w:gridCol w:w="240"/>
        <w:gridCol w:w="241"/>
        <w:gridCol w:w="125"/>
        <w:gridCol w:w="125"/>
        <w:gridCol w:w="126"/>
        <w:gridCol w:w="264"/>
        <w:gridCol w:w="264"/>
        <w:gridCol w:w="377"/>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Security</w:t>
              <w:br/>
              <w:t>Type</w:t>
            </w:r>
          </w:p>
        </w:tc>
        <w:tc>
          <w:tcPr>
            <w:tcW w:w="35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Security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Class</w:t>
            </w:r>
          </w:p>
          <w:p>
            <w:pPr>
              <w:pStyle w:val="TableContents"/>
              <w:bidi w:val="0"/>
              <w:spacing w:lineRule="auto" w:line="288" w:before="0" w:after="20"/>
              <w:jc w:val="center"/>
              <w:rPr>
                <w:rFonts w:ascii="Times New Roman;sans-serif" w:hAnsi="Times New Roman;sans-serif"/>
                <w:b/>
                <w:color w:val="000000"/>
                <w:sz w:val="14"/>
              </w:rPr>
            </w:pPr>
            <w:r>
              <w:rPr>
                <w:rFonts w:ascii="Times New Roman;sans-serif" w:hAnsi="Times New Roman;sans-serif"/>
                <w:b/>
                <w:color w:val="000000"/>
                <w:sz w:val="14"/>
              </w:rPr>
              <w:t>Title</w:t>
            </w:r>
          </w:p>
        </w:tc>
        <w:tc>
          <w:tcPr>
            <w:tcW w:w="15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Fee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Calculation</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or Carry</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Forward</w:t>
            </w:r>
          </w:p>
          <w:p>
            <w:pPr>
              <w:pStyle w:val="TableContents"/>
              <w:bidi w:val="0"/>
              <w:spacing w:lineRule="auto" w:line="288" w:before="0" w:after="20"/>
              <w:jc w:val="center"/>
              <w:rPr>
                <w:rFonts w:ascii="Times New Roman;sans-serif" w:hAnsi="Times New Roman;sans-serif"/>
                <w:b/>
                <w:color w:val="000000"/>
                <w:sz w:val="14"/>
              </w:rPr>
            </w:pPr>
            <w:r>
              <w:rPr>
                <w:rFonts w:ascii="Times New Roman;sans-serif" w:hAnsi="Times New Roman;sans-serif"/>
                <w:b/>
                <w:color w:val="000000"/>
                <w:sz w:val="14"/>
              </w:rPr>
              <w:t>Rule</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br/>
              <w:t>Registered</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Proposed</w:t>
              <w:br/>
              <w:t>Maximum</w:t>
              <w:br/>
              <w:t>Offering</w:t>
              <w:br/>
              <w:t>Price Per</w:t>
              <w:br/>
              <w:t>Unit</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Maximum</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Aggregate</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Offering</w:t>
            </w:r>
          </w:p>
          <w:p>
            <w:pPr>
              <w:pStyle w:val="TableContents"/>
              <w:bidi w:val="0"/>
              <w:spacing w:lineRule="auto" w:line="288" w:before="0" w:after="20"/>
              <w:jc w:val="center"/>
              <w:rPr>
                <w:rFonts w:ascii="Times New Roman;sans-serif" w:hAnsi="Times New Roman;sans-serif"/>
                <w:b/>
                <w:color w:val="000000"/>
                <w:sz w:val="14"/>
              </w:rPr>
            </w:pPr>
            <w:r>
              <w:rPr>
                <w:rFonts w:ascii="Times New Roman;sans-serif" w:hAnsi="Times New Roman;sans-serif"/>
                <w:b/>
                <w:color w:val="000000"/>
                <w:sz w:val="14"/>
              </w:rPr>
              <w:t>Price</w:t>
            </w:r>
          </w:p>
        </w:tc>
        <w:tc>
          <w:tcPr>
            <w:tcW w:w="3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Fee</w:t>
            </w:r>
          </w:p>
          <w:p>
            <w:pPr>
              <w:pStyle w:val="TableContents"/>
              <w:bidi w:val="0"/>
              <w:spacing w:lineRule="auto" w:line="288" w:before="0" w:after="20"/>
              <w:jc w:val="center"/>
              <w:rPr>
                <w:rFonts w:ascii="Times New Roman;sans-serif" w:hAnsi="Times New Roman;sans-serif"/>
                <w:b/>
                <w:color w:val="000000"/>
                <w:sz w:val="14"/>
              </w:rPr>
            </w:pPr>
            <w:r>
              <w:rPr>
                <w:rFonts w:ascii="Times New Roman;sans-serif" w:hAnsi="Times New Roman;sans-serif"/>
                <w:b/>
                <w:color w:val="000000"/>
                <w:sz w:val="14"/>
              </w:rPr>
              <w:t>Rate</w:t>
            </w:r>
          </w:p>
        </w:tc>
        <w:tc>
          <w:tcPr>
            <w:tcW w:w="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w:t>
              <w:br/>
              <w:t>Registration</w:t>
              <w:br/>
              <w:t>Fee</w:t>
            </w:r>
          </w:p>
        </w:tc>
      </w:tr>
      <w:tr>
        <w:trPr/>
        <w:tc>
          <w:tcPr>
            <w:tcW w:w="103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Fees to be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Paid</w:t>
            </w:r>
          </w:p>
        </w:tc>
        <w:tc>
          <w:tcPr>
            <w:tcW w:w="6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456(b) and 457(r)</w:t>
            </w:r>
          </w:p>
        </w:tc>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3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per share</w:t>
            </w:r>
          </w:p>
        </w:tc>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456(b) and 457(r)</w:t>
            </w:r>
          </w:p>
        </w:tc>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3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5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5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456(b) and 457(r)</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3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5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52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456(b) and 457(r)</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Fees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Previously</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Paid</w:t>
            </w:r>
          </w:p>
        </w:tc>
        <w:tc>
          <w:tcPr>
            <w:tcW w:w="66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5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15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2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9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r>
      <w:tr>
        <w:trPr/>
        <w:tc>
          <w:tcPr>
            <w:tcW w:w="10205" w:type="dxa"/>
            <w:gridSpan w:val="27"/>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 Forward Securities</w:t>
            </w:r>
          </w:p>
        </w:tc>
      </w:tr>
      <w:tr>
        <w:trPr/>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Carry</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6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35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152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shd w:fill="FFFFFF" w:val="clear"/>
            <w:tcMar>
              <w:left w:w="104"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1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Offering Amounts </w:t>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shd w:fill="FFFFFF" w:val="clear"/>
            <w:tcMar>
              <w:left w:w="104"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1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Fees Previously Paid </w:t>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shd w:fill="FFFFFF" w:val="clear"/>
            <w:tcMar>
              <w:left w:w="104"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1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Fee Offsets </w:t>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shd w:fill="FFFFFF" w:val="clear"/>
            <w:tcMar>
              <w:left w:w="104"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1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Fee Due </w:t>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05"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(1)Omitted pursuant to Form S-3 Instructions to the Calculation of Filing Fee Tables and Related Disclosure 2(A)(iii)(c). An indeterminate number or amount, as the case may be,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other securities of any identified class, and may be sold separately or in combination with the other securities hereunder. Pursuant to Rule 416 under the Securities Act of 1933, as amended (the “Securities Act”), this registration statement also covers any additional securities that may be offered or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issued in connection with any stock split, stock dividend, or pursuant to anti-dilution adjustments determined at the time of the offering. Separate consideration may or may not be received for securities that are issuable on exercise, conversion or exchange for other securities offered hereby. </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 accordance with Rules 456(b) and 457(r) of the Securities Act, the registrant is deferring payment of these registration fees and will pay any applicable registration fees on a “pay as you go” basis. The registrant will calculate the registration fee applicable to an offer of securities hereunder based on the fee rate in effect on the date of such fee payment.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4.3</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4"/>
        </w:rPr>
        <w:t>LIFE360, INC., Iss</w:t>
      </w:r>
      <w:r>
        <w:rPr>
          <w:rFonts w:ascii="Times New Roman;sans-serif" w:hAnsi="Times New Roman;sans-serif"/>
          <w:b w:val="false"/>
          <w:color w:val="000000"/>
          <w:sz w:val="24"/>
        </w:rPr>
        <w:t>u</w:t>
      </w:r>
      <w:r>
        <w:rPr>
          <w:rFonts w:ascii="Times New Roman;sans-serif" w:hAnsi="Times New Roman;sans-serif"/>
          <w:b/>
          <w:color w:val="000000"/>
          <w:sz w:val="24"/>
        </w:rPr>
        <w:t>er AND [TRUSTEE], Trustee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INDENTURE Dated as of [·], 20__</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w:t>
      </w:r>
    </w:p>
    <w:p>
      <w:pPr>
        <w:pStyle w:val="TextBody"/>
        <w:bidi w:val="0"/>
        <w:spacing w:lineRule="auto" w:line="288" w:before="0" w:after="480"/>
        <w:jc w:val="center"/>
        <w:rPr>
          <w:rFonts w:ascii="Times New Roman;sans-serif" w:hAnsi="Times New Roman;sans-serif"/>
          <w:b/>
          <w:color w:val="000000"/>
          <w:sz w:val="24"/>
        </w:rPr>
      </w:pPr>
      <w:r>
        <w:rPr>
          <w:rFonts w:ascii="Times New Roman;sans-serif" w:hAnsi="Times New Roman;sans-serif"/>
          <w:b/>
          <w:color w:val="000000"/>
          <w:sz w:val="24"/>
        </w:rPr>
        <w:t>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7"/>
        <w:gridCol w:w="726"/>
        <w:gridCol w:w="726"/>
        <w:gridCol w:w="1356"/>
        <w:gridCol w:w="1241"/>
        <w:gridCol w:w="1241"/>
        <w:gridCol w:w="1241"/>
        <w:gridCol w:w="1218"/>
        <w:gridCol w:w="1233"/>
        <w:gridCol w:w="114"/>
        <w:gridCol w:w="114"/>
        <w:gridCol w:w="168"/>
      </w:tblGrid>
      <w:tr>
        <w:trPr/>
        <w:tc>
          <w:tcPr>
            <w:tcW w:w="8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8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    DEFINITIONS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1.01    Definitions of Terms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2    ISSUE, DESCRIPTION, TERMS, EXECUTION, REGISTRATION AND EXCHANGE OF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2.01    Designation and Terms of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2.02    Form of Securities and Trustee’s Certificate</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2.03    Denominations: Provisions for Payment</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2.04    Execution and Authentications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2.05    Registration of Transfer and Exchange</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2.06    Temporary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2.07    Mutilated, Destroyed, Lost or Stolen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2.08    Cancellation</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2.09    Benefits of Indenture</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2.10    Authenticating Agent</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2.11    Global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2.12    CUSIP Numbers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3    REDEMPTION OF SECURITIES AND SINKING FUND PROVISIONS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3.01    Redemption</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3.02    Notice of Redemption</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3.03    Payment Upon Redemption</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3.04    Sinking Fund</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3.05    Satisfaction of Sinking Fund Payments with Securities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3.06    Redemption of Securities for Sinking Fund</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4    COVENANTS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4.01    Payment of Principal, Premium and Interest</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4.02    Maintenance of Office or Agency</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4.03    Paying Agents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4.04    Appointment to Fill Vacancy in Office of Trustee</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5    SECURITYHOLDERS’ LISTS AND REPORTS BY THE COMPANY AND THE TRUSTEE</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5"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
        <w:gridCol w:w="133"/>
        <w:gridCol w:w="133"/>
        <w:gridCol w:w="1619"/>
        <w:gridCol w:w="1550"/>
        <w:gridCol w:w="1550"/>
        <w:gridCol w:w="1550"/>
        <w:gridCol w:w="1550"/>
        <w:gridCol w:w="1574"/>
        <w:gridCol w:w="114"/>
        <w:gridCol w:w="114"/>
        <w:gridCol w:w="167"/>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5.01    Company to Furnish Trustee Names and Addresses of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5.02    Preservation Of Information; Communications With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5.03    Reports by the Company</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5.04    Reports by the Trustee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6    REMEDIES OF THE TRUSTEE AND SECURITYHOLDERS ON EVENT OF DEFAULT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6.01    Events of Default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6.02    Collection of Indebtedness and Suits for Enforcement by Trustee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6.03    Application of Moneys Collected</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6.04    Limitation on Suits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6.05    Rights and Remedies Cumulative; Delay or Omission Not Waiver</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6.06    Control by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6.07    Undertaking to Pay Costs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7    CONCERNING THE TRUSTEE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7.01    Certain Duties and Responsibilities of Trustee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7.02    Certain Rights of Trustee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7.03    Trustee Not Responsible for Recitals or Issuance or Securities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7.04    May Hold Securities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7.05    Moneys Held in Trust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7.06    Compensation and Reimbursement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7.07    Reliance on Officer’s Certificate</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7.08    Disqualification; Conflicting Interests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7.09    Corporate Trustee Required; Eligibility</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7.10    Resignation and Removal; Appointment of Successor</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7.11    Acceptance of Appointment By Successor</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7.12    Merger, Conversion, Consolidation or Succession to Business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7.13    Preferential Collection of Claims Against the Company</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7.14    Notice of Default</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8    CONCERNING THE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8.01    Evidence of Action by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8.02    Proof of Execution by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8.03    Who May be Deemed Owners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8.04    Certain Securities Owned by Company Disregarded</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w:t>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8.05    Actions Binding on Future Securityholders</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72"/>
        <w:gridCol w:w="590"/>
        <w:gridCol w:w="590"/>
        <w:gridCol w:w="1357"/>
        <w:gridCol w:w="1338"/>
        <w:gridCol w:w="1314"/>
        <w:gridCol w:w="1314"/>
        <w:gridCol w:w="1314"/>
        <w:gridCol w:w="1319"/>
        <w:gridCol w:w="114"/>
        <w:gridCol w:w="114"/>
        <w:gridCol w:w="169"/>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9    SUPPLEMENTAL INDENTURES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9.01    Supplemental Indentures Without the Consent of Securityholders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9.02    Supplemental Indentures With Consent of Securityholders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9.03    Effect of Supplemental Indentures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9.04    Securities Affected by Supplemental Indentures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9.05    Execution of Supplemental Indentures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10    SUCCESSOR ENTITY</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10.01    Company May Consolidate, Etc</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10.02    Successor Entity Substituted</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11    SATISFACTION AND DISCHARGE</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11.01    Satisfaction and Discharge of Indenture</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11.02    Discharge of Obligations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11.03    Deposited Moneys to be Held in Trust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11.04    Payment of Moneys Held by Paying Agents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11.05    Repayment to Company</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12    IMMUNITY OF INCORPORATORS, STOCKHOLDERS, OFFICERS AND DIRECTORS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12.01    No Recourse</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13    MISCELLANEOUS PROVISIONS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13.01    Effect on Successors and Assigns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13.02    Actions by Successor</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13.03    Surrender of Company Powers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13.04    Notices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13.05    Governing Law; Jury Trial Waiver</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13.06    Treatment of Securities as Debt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13.07    Certificates and Opinions as to Conditions Precedent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13.08    Payments on Business Days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13.09    Conflict with Trust Indenture Act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13.10    Counterparts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13.11    Separability</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13.12    Compliance Certificates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13.13    Patriot Act</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13.14    Force Majeure</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13.12    Table of Contents; Headings</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INDENTURE</w:t>
      </w:r>
    </w:p>
    <w:p>
      <w:pPr>
        <w:pStyle w:val="TextBody"/>
        <w:bidi w:val="0"/>
        <w:spacing w:lineRule="auto" w:line="288" w:before="0" w:after="240"/>
        <w:ind w:left="0" w:right="0" w:firstLine="720"/>
        <w:jc w:val="both"/>
        <w:rPr/>
      </w:pPr>
      <w:r>
        <w:rPr>
          <w:rFonts w:ascii="Times New Roman;sans-serif" w:hAnsi="Times New Roman;sans-serif"/>
          <w:b/>
          <w:color w:val="000000"/>
          <w:sz w:val="24"/>
        </w:rPr>
        <w:t>Indenture</w:t>
      </w:r>
      <w:r>
        <w:rPr>
          <w:rFonts w:ascii="Times New Roman;sans-serif" w:hAnsi="Times New Roman;sans-serif"/>
          <w:b w:val="false"/>
          <w:color w:val="000000"/>
          <w:sz w:val="24"/>
        </w:rPr>
        <w:t xml:space="preserve">, dated as of [·], ____, among </w:t>
      </w:r>
      <w:r>
        <w:rPr>
          <w:rFonts w:ascii="Times New Roman;sans-serif" w:hAnsi="Times New Roman;sans-serif"/>
          <w:b/>
          <w:color w:val="000000"/>
          <w:sz w:val="24"/>
        </w:rPr>
        <w:t>Life360, Inc.</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 Delaware corporation (the “Company”), and[</w:t>
      </w:r>
      <w:r>
        <w:rPr>
          <w:rFonts w:ascii="Times New Roman;sans-serif" w:hAnsi="Times New Roman;sans-serif"/>
          <w:b/>
          <w:color w:val="000000"/>
          <w:sz w:val="24"/>
        </w:rPr>
        <w:t>Trustee</w:t>
      </w:r>
      <w:r>
        <w:rPr>
          <w:rFonts w:ascii="Times New Roman;sans-serif" w:hAnsi="Times New Roman;sans-serif"/>
          <w:b w:val="false"/>
          <w:color w:val="000000"/>
          <w:sz w:val="24"/>
        </w:rPr>
        <w:t xml:space="preserve">], as trustee (the “Trustee”):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to provide the terms and conditions upon which the Securities are to be authenticated, issued and delivered, the Company has duly authorized the execution of this Indenture; and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all things necessary to make this Indenture a valid agreement of the Company, in accordance with its terms, have been done.</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88" w:before="0" w:after="240"/>
        <w:jc w:val="both"/>
        <w:rPr/>
      </w:pPr>
      <w:r>
        <w:rPr>
          <w:rFonts w:ascii="Times New Roman;sans-serif" w:hAnsi="Times New Roman;sans-serif"/>
          <w:b/>
          <w:color w:val="000000"/>
          <w:sz w:val="24"/>
        </w:rPr>
        <w:t>Section 1.01 Definitions of Terms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Authenticating Agent</w:t>
      </w:r>
      <w:r>
        <w:rPr>
          <w:color w:val="000000"/>
        </w:rPr>
        <w:t xml:space="preserve">” </w:t>
      </w:r>
      <w:r>
        <w:rPr>
          <w:rFonts w:ascii="Times New Roman;sans-serif" w:hAnsi="Times New Roman;sans-serif"/>
          <w:b w:val="false"/>
          <w:color w:val="000000"/>
          <w:sz w:val="24"/>
        </w:rPr>
        <w:t>means the Trustee or an authenticating agent with respect to all or any of the series of Securities appointed by the Trustee pursuant to Section 2.10.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Bankruptcy Law</w:t>
      </w:r>
      <w:r>
        <w:rPr>
          <w:color w:val="000000"/>
        </w:rPr>
        <w:t xml:space="preserve">” </w:t>
      </w:r>
      <w:r>
        <w:rPr>
          <w:rFonts w:ascii="Times New Roman;sans-serif" w:hAnsi="Times New Roman;sans-serif"/>
          <w:b w:val="false"/>
          <w:color w:val="000000"/>
          <w:sz w:val="24"/>
        </w:rPr>
        <w:t>means Title 11, U.S.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Board of Directors</w:t>
      </w:r>
      <w:r>
        <w:rPr>
          <w:color w:val="000000"/>
        </w:rPr>
        <w:t xml:space="preserve">” </w:t>
      </w:r>
      <w:r>
        <w:rPr>
          <w:rFonts w:ascii="Times New Roman;sans-serif" w:hAnsi="Times New Roman;sans-serif"/>
          <w:b w:val="false"/>
          <w:color w:val="000000"/>
          <w:sz w:val="24"/>
        </w:rPr>
        <w:t>means the Board of Directors (or the functional equivalent thereof) of the Company or any duly authorized committee of such Board.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Board Resolution</w:t>
      </w:r>
      <w:r>
        <w:rPr>
          <w:color w:val="000000"/>
        </w:rPr>
        <w:t xml:space="preserve">” </w:t>
      </w:r>
      <w:r>
        <w:rPr>
          <w:rFonts w:ascii="Times New Roman;sans-serif" w:hAnsi="Times New Roman;sans-serif"/>
          <w:b w:val="false"/>
          <w:color w:val="000000"/>
          <w:sz w:val="24"/>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Business Day</w:t>
      </w:r>
      <w:r>
        <w:rPr>
          <w:color w:val="000000"/>
        </w:rPr>
        <w:t xml:space="preserve">” </w:t>
      </w:r>
      <w:r>
        <w:rPr>
          <w:rFonts w:ascii="Times New Roman;sans-serif" w:hAnsi="Times New Roman;sans-serif"/>
          <w:b w:val="false"/>
          <w:color w:val="000000"/>
          <w:sz w:val="24"/>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Commission</w:t>
      </w:r>
      <w:r>
        <w:rPr>
          <w:color w:val="000000"/>
        </w:rPr>
        <w:t xml:space="preserve">” </w:t>
      </w:r>
      <w:r>
        <w:rPr>
          <w:rFonts w:ascii="Times New Roman;sans-serif" w:hAnsi="Times New Roman;sans-serif"/>
          <w:b w:val="false"/>
          <w:color w:val="000000"/>
          <w:sz w:val="24"/>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means Life360, Inc., a corporation duly organized and existing under the laws of the State of Delaware, and, subject to the provisions of Article Ten, shall also include its successors and assigns.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Corporate Trust Office</w:t>
      </w:r>
      <w:r>
        <w:rPr>
          <w:color w:val="000000"/>
        </w:rPr>
        <w:t xml:space="preserve">” </w:t>
      </w:r>
      <w:r>
        <w:rPr>
          <w:rFonts w:ascii="Times New Roman;sans-serif" w:hAnsi="Times New Roman;sans-serif"/>
          <w:b w:val="false"/>
          <w:color w:val="000000"/>
          <w:sz w:val="24"/>
        </w:rPr>
        <w:t>means the office of the Trustee at which, at any particular time, its corporate trust business shall be principally administered, which office at the date hereof is located at ____________________________________________________________________.</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Custodian</w:t>
      </w:r>
      <w:r>
        <w:rPr>
          <w:color w:val="000000"/>
        </w:rPr>
        <w:t xml:space="preserve">” </w:t>
      </w:r>
      <w:r>
        <w:rPr>
          <w:rFonts w:ascii="Times New Roman;sans-serif" w:hAnsi="Times New Roman;sans-serif"/>
          <w:b w:val="false"/>
          <w:color w:val="000000"/>
          <w:sz w:val="24"/>
        </w:rPr>
        <w:t>means any receiver, trustee, assignee, liquidator or similar official under any Bankruptcy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Defaulted Interest</w:t>
      </w:r>
      <w:r>
        <w:rPr>
          <w:color w:val="000000"/>
        </w:rPr>
        <w:t xml:space="preserve">” </w:t>
      </w:r>
      <w:r>
        <w:rPr>
          <w:rFonts w:ascii="Times New Roman;sans-serif" w:hAnsi="Times New Roman;sans-serif"/>
          <w:b w:val="false"/>
          <w:color w:val="000000"/>
          <w:sz w:val="24"/>
        </w:rPr>
        <w:t>has the meaning set forth in Section 2.03.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Depositary</w:t>
      </w:r>
      <w:r>
        <w:rPr>
          <w:color w:val="000000"/>
        </w:rPr>
        <w:t xml:space="preserve">” </w:t>
      </w:r>
      <w:r>
        <w:rPr>
          <w:rFonts w:ascii="Times New Roman;sans-serif" w:hAnsi="Times New Roman;sans-serif"/>
          <w:b w:val="false"/>
          <w:color w:val="000000"/>
          <w:sz w:val="24"/>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Event of Default</w:t>
      </w:r>
      <w:r>
        <w:rPr>
          <w:color w:val="000000"/>
        </w:rPr>
        <w:t xml:space="preserve">” </w:t>
      </w:r>
      <w:r>
        <w:rPr>
          <w:rFonts w:ascii="Times New Roman;sans-serif" w:hAnsi="Times New Roman;sans-serif"/>
          <w:b w:val="false"/>
          <w:color w:val="000000"/>
          <w:sz w:val="24"/>
        </w:rPr>
        <w:t>means, with respect to Securities of a particular series, any event specified in Section 6.01, continued for the period of time, if any, therein designated.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United States Securities and Exchange Act of 1934, as amended, and the rules and regulations promulgated by the Commission thereunder.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term “</w:t>
      </w:r>
      <w:r>
        <w:rPr>
          <w:rFonts w:ascii="Times New Roman;sans-serif" w:hAnsi="Times New Roman;sans-serif"/>
          <w:b/>
          <w:i/>
          <w:color w:val="000000"/>
          <w:sz w:val="24"/>
        </w:rPr>
        <w:t>given</w:t>
      </w:r>
      <w:r>
        <w:rPr>
          <w:color w:val="000000"/>
        </w:rPr>
        <w:t>”</w:t>
      </w:r>
      <w:r>
        <w:rPr>
          <w:rFonts w:ascii="Times New Roman;sans-serif" w:hAnsi="Times New Roman;sans-serif"/>
          <w:b w:val="false"/>
          <w:color w:val="000000"/>
          <w:sz w:val="24"/>
        </w:rPr>
        <w:t>, “</w:t>
      </w:r>
      <w:r>
        <w:rPr>
          <w:rFonts w:ascii="Times New Roman;sans-serif" w:hAnsi="Times New Roman;sans-serif"/>
          <w:b/>
          <w:i/>
          <w:color w:val="000000"/>
          <w:sz w:val="24"/>
        </w:rPr>
        <w:t>mailed</w:t>
      </w:r>
      <w:r>
        <w:rPr>
          <w:color w:val="000000"/>
        </w:rPr>
        <w:t>”</w:t>
      </w:r>
      <w:r>
        <w:rPr>
          <w:rFonts w:ascii="Times New Roman;sans-serif" w:hAnsi="Times New Roman;sans-serif"/>
          <w:b w:val="false"/>
          <w:color w:val="000000"/>
          <w:sz w:val="24"/>
        </w:rPr>
        <w:t>, “</w:t>
      </w:r>
      <w:r>
        <w:rPr>
          <w:rFonts w:ascii="Times New Roman;sans-serif" w:hAnsi="Times New Roman;sans-serif"/>
          <w:b/>
          <w:i/>
          <w:color w:val="000000"/>
          <w:sz w:val="24"/>
        </w:rPr>
        <w:t>notify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sent</w:t>
      </w:r>
      <w:r>
        <w:rPr>
          <w:color w:val="000000"/>
        </w:rPr>
        <w:t xml:space="preserve">” </w:t>
      </w:r>
      <w:r>
        <w:rPr>
          <w:rFonts w:ascii="Times New Roman;sans-serif" w:hAnsi="Times New Roman;sans-serif"/>
          <w:b w:val="false"/>
          <w:color w:val="000000"/>
          <w:sz w:val="24"/>
        </w:rPr>
        <w:t xml:space="preserve">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given” shall be deemed to include any notice to be “mailed” or “delivered,” as applicable, under this Indenture.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Global Security</w:t>
      </w:r>
      <w:r>
        <w:rPr>
          <w:color w:val="000000"/>
        </w:rPr>
        <w:t xml:space="preserve">” </w:t>
      </w:r>
      <w:r>
        <w:rPr>
          <w:rFonts w:ascii="Times New Roman;sans-serif" w:hAnsi="Times New Roman;sans-serif"/>
          <w:b w:val="false"/>
          <w:color w:val="000000"/>
          <w:sz w:val="24"/>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Governmental Obligations</w:t>
      </w:r>
      <w:r>
        <w:rPr>
          <w:color w:val="000000"/>
        </w:rPr>
        <w:t xml:space="preserve">” </w:t>
      </w:r>
      <w:r>
        <w:rPr>
          <w:rFonts w:ascii="Times New Roman;sans-serif" w:hAnsi="Times New Roman;sans-serif"/>
          <w:b w:val="false"/>
          <w:color w:val="000000"/>
          <w:sz w:val="24"/>
        </w:rPr>
        <w:t>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herein</w:t>
      </w:r>
      <w:r>
        <w:rPr>
          <w:color w:val="000000"/>
        </w:rPr>
        <w:t>”</w:t>
      </w:r>
      <w:r>
        <w:rPr>
          <w:rFonts w:ascii="Times New Roman;sans-serif" w:hAnsi="Times New Roman;sans-serif"/>
          <w:b w:val="false"/>
          <w:color w:val="000000"/>
          <w:sz w:val="24"/>
        </w:rPr>
        <w:t>, “</w:t>
      </w:r>
      <w:r>
        <w:rPr>
          <w:rFonts w:ascii="Times New Roman;sans-serif" w:hAnsi="Times New Roman;sans-serif"/>
          <w:b/>
          <w:i/>
          <w:color w:val="000000"/>
          <w:sz w:val="24"/>
        </w:rPr>
        <w:t>hereof</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i/>
          <w:color w:val="000000"/>
          <w:sz w:val="24"/>
        </w:rPr>
        <w:t>hereunder</w:t>
      </w:r>
      <w:r>
        <w:rPr>
          <w:color w:val="000000"/>
        </w:rPr>
        <w:t>”</w:t>
      </w:r>
      <w:r>
        <w:rPr>
          <w:rFonts w:ascii="Times New Roman;sans-serif" w:hAnsi="Times New Roman;sans-serif"/>
          <w:b w:val="false"/>
          <w:color w:val="000000"/>
          <w:sz w:val="24"/>
        </w:rPr>
        <w:t>, and other words of similar import, refer to this Indenture as a whole and not to any particular Article, Section or other subdivision.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Indenture</w:t>
      </w:r>
      <w:r>
        <w:rPr>
          <w:color w:val="000000"/>
        </w:rPr>
        <w:t xml:space="preserve">” </w:t>
      </w:r>
      <w:r>
        <w:rPr>
          <w:rFonts w:ascii="Times New Roman;sans-serif" w:hAnsi="Times New Roman;sans-serif"/>
          <w:b w:val="false"/>
          <w:color w:val="000000"/>
          <w:sz w:val="24"/>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Interest Payment Date</w:t>
      </w:r>
      <w:r>
        <w:rPr>
          <w:color w:val="000000"/>
        </w:rPr>
        <w:t>”</w:t>
      </w:r>
      <w:r>
        <w:rPr>
          <w:rFonts w:ascii="Times New Roman;sans-serif" w:hAnsi="Times New Roman;sans-serif"/>
          <w:b w:val="false"/>
          <w:color w:val="000000"/>
          <w:sz w:val="24"/>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Officer’s Certificate</w:t>
      </w:r>
      <w:r>
        <w:rPr>
          <w:color w:val="000000"/>
        </w:rPr>
        <w:t xml:space="preserve">” </w:t>
      </w:r>
      <w:r>
        <w:rPr>
          <w:rFonts w:ascii="Times New Roman;sans-serif" w:hAnsi="Times New Roman;sans-serif"/>
          <w:b w:val="false"/>
          <w:color w:val="000000"/>
          <w:sz w:val="24"/>
        </w:rPr>
        <w:t>means a certificate signed by any Officer. Each such certificate shall include the statements provided for in Section 13.07, if and to the extent required by the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Opinion of Counsel</w:t>
      </w:r>
      <w:r>
        <w:rPr>
          <w:color w:val="000000"/>
        </w:rPr>
        <w:t xml:space="preserve">” </w:t>
      </w:r>
      <w:r>
        <w:rPr>
          <w:rFonts w:ascii="Times New Roman;sans-serif" w:hAnsi="Times New Roman;sans-serif"/>
          <w:b w:val="false"/>
          <w:color w:val="000000"/>
          <w:sz w:val="24"/>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Outstanding</w:t>
      </w:r>
      <w:r>
        <w:rPr>
          <w:color w:val="000000"/>
        </w:rPr>
        <w:t>”</w:t>
      </w:r>
      <w:r>
        <w:rPr>
          <w:rFonts w:ascii="Times New Roman;sans-serif" w:hAnsi="Times New Roman;sans-serif"/>
          <w:b w:val="false"/>
          <w:color w:val="000000"/>
          <w:sz w:val="24"/>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Person</w:t>
      </w:r>
      <w:r>
        <w:rPr>
          <w:color w:val="000000"/>
        </w:rPr>
        <w:t xml:space="preserve">” </w:t>
      </w:r>
      <w:r>
        <w:rPr>
          <w:rFonts w:ascii="Times New Roman;sans-serif" w:hAnsi="Times New Roman;sans-serif"/>
          <w:b w:val="false"/>
          <w:color w:val="000000"/>
          <w:sz w:val="24"/>
        </w:rPr>
        <w:t>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Predecessor Security</w:t>
      </w:r>
      <w:r>
        <w:rPr>
          <w:color w:val="000000"/>
        </w:rPr>
        <w:t xml:space="preserve">” </w:t>
      </w:r>
      <w:r>
        <w:rPr>
          <w:rFonts w:ascii="Times New Roman;sans-serif" w:hAnsi="Times New Roman;sans-serif"/>
          <w:b w:val="false"/>
          <w:color w:val="000000"/>
          <w:sz w:val="24"/>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Responsible Officer</w:t>
      </w:r>
      <w:r>
        <w:rPr>
          <w:color w:val="000000"/>
        </w:rPr>
        <w:t xml:space="preserve">” </w:t>
      </w:r>
      <w:r>
        <w:rPr>
          <w:rFonts w:ascii="Times New Roman;sans-serif" w:hAnsi="Times New Roman;sans-serif"/>
          <w:b w:val="false"/>
          <w:color w:val="000000"/>
          <w:sz w:val="24"/>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Securities</w:t>
      </w:r>
      <w:r>
        <w:rPr>
          <w:color w:val="000000"/>
        </w:rPr>
        <w:t xml:space="preserve">” </w:t>
      </w:r>
      <w:r>
        <w:rPr>
          <w:rFonts w:ascii="Times New Roman;sans-serif" w:hAnsi="Times New Roman;sans-serif"/>
          <w:b w:val="false"/>
          <w:color w:val="000000"/>
          <w:sz w:val="24"/>
        </w:rPr>
        <w:t>has the meaning stated in the first recital of this Indenture and more particularly means any Securities authenticated and delivered under this Indenture.</w:t>
      </w:r>
    </w:p>
    <w:p>
      <w:pPr>
        <w:pStyle w:val="TextBody"/>
        <w:bidi w:val="0"/>
        <w:spacing w:lineRule="auto" w:line="288" w:before="0" w:after="240"/>
        <w:ind w:left="0" w:right="0" w:firstLine="720"/>
        <w:jc w:val="left"/>
        <w:rPr/>
      </w:pPr>
      <w:r>
        <w:rPr>
          <w:color w:val="000000"/>
        </w:rPr>
        <w:t>“</w:t>
      </w:r>
      <w:r>
        <w:rPr>
          <w:rFonts w:ascii="Times New Roman;sans-serif" w:hAnsi="Times New Roman;sans-serif"/>
          <w:b/>
          <w:i/>
          <w:color w:val="000000"/>
          <w:sz w:val="24"/>
        </w:rPr>
        <w:t>Securities Act</w:t>
      </w:r>
      <w:r>
        <w:rPr>
          <w:color w:val="000000"/>
        </w:rPr>
        <w:t xml:space="preserve">” </w:t>
      </w:r>
      <w:r>
        <w:rPr>
          <w:rFonts w:ascii="Times New Roman;sans-serif" w:hAnsi="Times New Roman;sans-serif"/>
          <w:b w:val="false"/>
          <w:color w:val="000000"/>
          <w:sz w:val="24"/>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i/>
          <w:color w:val="000000"/>
          <w:sz w:val="24"/>
        </w:rPr>
        <w:t>Securityholder</w:t>
      </w:r>
      <w:r>
        <w:rPr>
          <w:color w:val="000000"/>
        </w:rPr>
        <w:t>”</w:t>
      </w:r>
      <w:r>
        <w:rPr>
          <w:rFonts w:ascii="Times New Roman;sans-serif" w:hAnsi="Times New Roman;sans-serif"/>
          <w:b w:val="false"/>
          <w:color w:val="000000"/>
          <w:sz w:val="24"/>
        </w:rPr>
        <w:t>, “</w:t>
      </w:r>
      <w:r>
        <w:rPr>
          <w:rFonts w:ascii="Times New Roman;sans-serif" w:hAnsi="Times New Roman;sans-serif"/>
          <w:b/>
          <w:i/>
          <w:color w:val="000000"/>
          <w:sz w:val="24"/>
        </w:rPr>
        <w:t>holder of Securities</w:t>
      </w:r>
      <w:r>
        <w:rPr>
          <w:color w:val="000000"/>
        </w:rPr>
        <w:t>”</w:t>
      </w:r>
      <w:r>
        <w:rPr>
          <w:rFonts w:ascii="Times New Roman;sans-serif" w:hAnsi="Times New Roman;sans-serif"/>
          <w:b w:val="false"/>
          <w:color w:val="000000"/>
          <w:sz w:val="24"/>
        </w:rPr>
        <w:t>, “</w:t>
      </w:r>
      <w:r>
        <w:rPr>
          <w:rFonts w:ascii="Times New Roman;sans-serif" w:hAnsi="Times New Roman;sans-serif"/>
          <w:b/>
          <w:i/>
          <w:color w:val="000000"/>
          <w:sz w:val="24"/>
        </w:rPr>
        <w:t>registered holder</w:t>
      </w:r>
      <w:r>
        <w:rPr>
          <w:color w:val="000000"/>
        </w:rPr>
        <w:t>”</w:t>
      </w:r>
      <w:r>
        <w:rPr>
          <w:rFonts w:ascii="Times New Roman;sans-serif" w:hAnsi="Times New Roman;sans-serif"/>
          <w:b w:val="false"/>
          <w:color w:val="000000"/>
          <w:sz w:val="24"/>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Security Register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i/>
          <w:color w:val="000000"/>
          <w:sz w:val="24"/>
        </w:rPr>
        <w:t>Security Registrar</w:t>
      </w:r>
      <w:r>
        <w:rPr>
          <w:color w:val="000000"/>
        </w:rPr>
        <w:t xml:space="preserve">” </w:t>
      </w:r>
      <w:r>
        <w:rPr>
          <w:rFonts w:ascii="Times New Roman;sans-serif" w:hAnsi="Times New Roman;sans-serif"/>
          <w:b w:val="false"/>
          <w:color w:val="000000"/>
          <w:sz w:val="24"/>
        </w:rPr>
        <w:t>shall have the meanings as set forth in Section 2.05.</w:t>
      </w:r>
    </w:p>
    <w:p>
      <w:pPr>
        <w:pStyle w:val="TextBody"/>
        <w:bidi w:val="0"/>
        <w:spacing w:lineRule="auto" w:line="288" w:before="0" w:after="240"/>
        <w:ind w:left="0" w:right="0" w:firstLine="720"/>
        <w:jc w:val="left"/>
        <w:rPr/>
      </w:pPr>
      <w:r>
        <w:rPr>
          <w:color w:val="000000"/>
        </w:rPr>
        <w:t>“</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Trustee</w:t>
      </w:r>
      <w:r>
        <w:rPr>
          <w:color w:val="000000"/>
        </w:rPr>
        <w:t xml:space="preserve">” </w:t>
      </w:r>
      <w:r>
        <w:rPr>
          <w:rFonts w:ascii="Times New Roman;sans-serif" w:hAnsi="Times New Roman;sans-serif"/>
          <w:b w:val="false"/>
          <w:color w:val="000000"/>
          <w:sz w:val="24"/>
        </w:rPr>
        <w:t>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Trust Indenture Act</w:t>
      </w:r>
      <w:r>
        <w:rPr>
          <w:color w:val="000000"/>
        </w:rPr>
        <w:t xml:space="preserve">” </w:t>
      </w:r>
      <w:r>
        <w:rPr>
          <w:rFonts w:ascii="Times New Roman;sans-serif" w:hAnsi="Times New Roman;sans-serif"/>
          <w:b w:val="false"/>
          <w:color w:val="000000"/>
          <w:sz w:val="24"/>
        </w:rPr>
        <w:t>means the Trust Indenture Act of 1939,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U.S.A. Patriot Act”</w:t>
      </w:r>
      <w:r>
        <w:rPr>
          <w:color w:val="000000"/>
        </w:rPr>
        <w:t xml:space="preserve"> </w:t>
      </w:r>
      <w:r>
        <w:rPr>
          <w:rFonts w:ascii="Times New Roman;sans-serif" w:hAnsi="Times New Roman;sans-serif"/>
          <w:b w:val="false"/>
          <w:color w:val="000000"/>
          <w:sz w:val="24"/>
        </w:rPr>
        <w:t>means the Uniting and Strengthening America by Providing Appropriate Tools Required to Intercept and Obstruct Terrorism Act of 2001, Pub. L. 107-56, as amended and signed into law October 26, 2001.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ISSUE, DESCRIPTION, TERMS, EXECUTION, REGISTRATION AND EXCHANGE OF SECURITIES</w:t>
      </w:r>
    </w:p>
    <w:p>
      <w:pPr>
        <w:pStyle w:val="TextBody"/>
        <w:bidi w:val="0"/>
        <w:spacing w:lineRule="auto" w:line="288" w:before="0" w:after="240"/>
        <w:jc w:val="both"/>
        <w:rPr/>
      </w:pPr>
      <w:r>
        <w:rPr>
          <w:rFonts w:ascii="Times New Roman;sans-serif" w:hAnsi="Times New Roman;sans-serif"/>
          <w:b/>
          <w:color w:val="000000"/>
          <w:sz w:val="24"/>
        </w:rPr>
        <w:t>Section 2.01 Designation and Terms of Securities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(a)</w:t>
      </w:r>
      <w:r>
        <w:rPr>
          <w:color w:val="000000"/>
        </w:rPr>
        <w:t xml:space="preserve"> </w:t>
      </w:r>
      <w:r>
        <w:rPr>
          <w:rFonts w:ascii="Times New Roman;sans-serif" w:hAnsi="Times New Roman;sans-serif"/>
          <w:b w:val="false"/>
          <w:color w:val="000000"/>
          <w:sz w:val="24"/>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title of the Securities of the series (which shall distinguish the Securities of that series from all other Securities);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the maturity date or dates on which the principal of the Securities of the series is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    the form of the Securities of the series including the form of the certificate of authentication for such series;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    the applicability of any guarantees;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    whether or not the Securities will be secured or unsecured, and the terms of any secured debt;</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7.    whether the Securities rank as senior debt, senior subordinated debt, subordinated debt or any combination thereof, and the terms of any subordination;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    the Company’s right, if any, to defer the payment of interest and the maximum length of any such deferral period;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12.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13.    the denominations in which the Securities of the series shall be issuable, if other than denominations of one thousand U.S. dollars ($1,000) or any integral multiple thereof;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14.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15.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16.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17.    if other than the full principal amount thereof, the portion of the principal amount of Securities of the series which shall be payable upon declaration of acceleration of the maturity thereof pursuant to Section 6.01;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18.    additions to or changes in the covenants applicable to the series of Securities being issued, including, among others, the consolidation, merger or sale covenant;</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19.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20.    additions to or changes in or deletions of the provisions relating to covenant defeasance and legal defeasance;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21.    additions to or changes in the provisions relating to satisfaction and discharge of this Indenture;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22.    additions to or changes in the provisions relating to the modification of this Indenture both with and without the consent of Securityholders of Securities issued under this Indenture;</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23.    the currency of payment of Securities if other than U.S. dollars and the manner of determining the equivalent amount in U.S. dollars;</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24.    whether interest will be payable in cash or additional Securities at the Company’s or the Securityholders’ option and the terms and conditions upon which the election may be made;</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25.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26.    any restrictions on transfer, sale or assignment of the Securities of the series;</w:t>
      </w:r>
      <w:r>
        <w:rPr>
          <w:color w:val="000000"/>
        </w:rPr>
        <w:t xml:space="preserve"> </w:t>
      </w:r>
      <w:r>
        <w:rPr>
          <w:rFonts w:ascii="Times New Roman;sans-serif" w:hAnsi="Times New Roman;sans-serif"/>
          <w:b w:val="false"/>
          <w:color w:val="000000"/>
          <w:sz w:val="24"/>
        </w:rPr>
        <w:t>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27.    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Section 2.02    Form of Securities and Trustee’s Certificate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lineRule="auto" w:line="288" w:before="0" w:after="240"/>
        <w:jc w:val="both"/>
        <w:rPr/>
      </w:pPr>
      <w:r>
        <w:rPr>
          <w:rFonts w:ascii="Times New Roman;sans-serif" w:hAnsi="Times New Roman;sans-serif"/>
          <w:b/>
          <w:color w:val="000000"/>
          <w:sz w:val="24"/>
        </w:rPr>
        <w:t>Section 2.03    Denominations: Provisions for Payment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lineRule="auto" w:line="288" w:before="0" w:after="24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88" w:before="0" w:after="24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lineRule="auto" w:line="288" w:before="0" w:after="240"/>
        <w:jc w:val="both"/>
        <w:rPr/>
      </w:pPr>
      <w:r>
        <w:rPr>
          <w:rFonts w:ascii="Times New Roman;sans-serif" w:hAnsi="Times New Roman;sans-serif"/>
          <w:b/>
          <w:color w:val="000000"/>
          <w:sz w:val="24"/>
        </w:rPr>
        <w:t>Section 2.04    Execution and Authentications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shall be signed on behalf of the Company by one of its Officers. Signatures may be in the form of a manual or facsimile 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 stock exchange rule or usage. Each Security shall be dated the date of its authentication by the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lineRule="auto" w:line="288" w:before="0" w:after="240"/>
        <w:jc w:val="both"/>
        <w:rPr/>
      </w:pPr>
      <w:r>
        <w:rPr>
          <w:rFonts w:ascii="Times New Roman;sans-serif" w:hAnsi="Times New Roman;sans-serif"/>
          <w:b/>
          <w:color w:val="000000"/>
          <w:sz w:val="24"/>
        </w:rPr>
        <w:t>Section 2.05    Registration of Transfer and Exchange</w:t>
      </w:r>
      <w:r>
        <w:rPr>
          <w:rFonts w:ascii="Times New Roman;sans-serif" w:hAnsi="Times New Roman;sans-serif"/>
          <w:b w:val="false"/>
          <w:color w:val="000000"/>
          <w:sz w:val="24"/>
        </w:rPr>
        <w:t>.</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initially appoints the Trustee as Security Registrar for each series of Securities.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Section 2.06    Temporary Securities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lineRule="auto" w:line="288" w:before="0" w:after="240"/>
        <w:jc w:val="both"/>
        <w:rPr/>
      </w:pPr>
      <w:r>
        <w:rPr>
          <w:rFonts w:ascii="Times New Roman;sans-serif" w:hAnsi="Times New Roman;sans-serif"/>
          <w:b/>
          <w:color w:val="000000"/>
          <w:sz w:val="24"/>
        </w:rPr>
        <w:t>Section 2.07    Mutilated, Destroyed, Lost or Stolen Securities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lineRule="auto" w:line="288" w:before="0" w:after="240"/>
        <w:jc w:val="both"/>
        <w:rPr/>
      </w:pPr>
      <w:r>
        <w:rPr>
          <w:rFonts w:ascii="Times New Roman;sans-serif" w:hAnsi="Times New Roman;sans-serif"/>
          <w:b/>
          <w:color w:val="000000"/>
          <w:sz w:val="24"/>
        </w:rPr>
        <w:t>Section 2.08    Cancellation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lineRule="auto" w:line="288" w:before="0" w:after="240"/>
        <w:jc w:val="both"/>
        <w:rPr/>
      </w:pPr>
      <w:r>
        <w:rPr>
          <w:rFonts w:ascii="Times New Roman;sans-serif" w:hAnsi="Times New Roman;sans-serif"/>
          <w:b/>
          <w:color w:val="000000"/>
          <w:sz w:val="24"/>
        </w:rPr>
        <w:t>Section 2.09    Benefits of Indenture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lineRule="auto" w:line="288" w:before="0" w:after="240"/>
        <w:jc w:val="both"/>
        <w:rPr/>
      </w:pPr>
      <w:r>
        <w:rPr>
          <w:rFonts w:ascii="Times New Roman;sans-serif" w:hAnsi="Times New Roman;sans-serif"/>
          <w:b/>
          <w:color w:val="000000"/>
          <w:sz w:val="24"/>
        </w:rPr>
        <w:t>Section 2.10    Authenticating Agent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lineRule="auto" w:line="288" w:before="0" w:after="240"/>
        <w:jc w:val="both"/>
        <w:rPr/>
      </w:pPr>
      <w:r>
        <w:rPr>
          <w:rFonts w:ascii="Times New Roman;sans-serif" w:hAnsi="Times New Roman;sans-serif"/>
          <w:b/>
          <w:color w:val="000000"/>
          <w:sz w:val="24"/>
        </w:rPr>
        <w:t>Section 2.11    Global Securities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lineRule="auto" w:line="288" w:before="0" w:after="240"/>
        <w:jc w:val="both"/>
        <w:rPr/>
      </w:pPr>
      <w:r>
        <w:rPr>
          <w:rFonts w:ascii="Times New Roman;sans-serif" w:hAnsi="Times New Roman;sans-serif"/>
          <w:b/>
          <w:color w:val="000000"/>
          <w:sz w:val="24"/>
        </w:rPr>
        <w:t>Section 2.12    CUSIP Numbers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3</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REDEMPTION OF SECURITIES AND SINKING FUND PROVISIONS</w:t>
      </w:r>
    </w:p>
    <w:p>
      <w:pPr>
        <w:pStyle w:val="TextBody"/>
        <w:bidi w:val="0"/>
        <w:spacing w:lineRule="auto" w:line="288" w:before="0" w:after="240"/>
        <w:jc w:val="both"/>
        <w:rPr/>
      </w:pPr>
      <w:r>
        <w:rPr>
          <w:rFonts w:ascii="Times New Roman;sans-serif" w:hAnsi="Times New Roman;sans-serif"/>
          <w:b/>
          <w:color w:val="000000"/>
          <w:sz w:val="24"/>
        </w:rPr>
        <w:t>Section 3.01    Redemption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redeem the Securities of any series issued hereunder on and after the dates and in accordance with the terms established for such series pursuant to Section 2.01 hereof.</w:t>
      </w:r>
    </w:p>
    <w:p>
      <w:pPr>
        <w:pStyle w:val="TextBody"/>
        <w:bidi w:val="0"/>
        <w:spacing w:lineRule="auto" w:line="288" w:before="0" w:after="240"/>
        <w:jc w:val="both"/>
        <w:rPr/>
      </w:pPr>
      <w:r>
        <w:rPr>
          <w:rFonts w:ascii="Times New Roman;sans-serif" w:hAnsi="Times New Roman;sans-serif"/>
          <w:b/>
          <w:color w:val="000000"/>
          <w:sz w:val="24"/>
        </w:rPr>
        <w:t>Section 3.02    Notice of Redemption</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Section 3.03    Payment Upon Redemption</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lineRule="auto" w:line="288" w:before="0" w:after="240"/>
        <w:jc w:val="both"/>
        <w:rPr/>
      </w:pPr>
      <w:r>
        <w:rPr>
          <w:rFonts w:ascii="Times New Roman;sans-serif" w:hAnsi="Times New Roman;sans-serif"/>
          <w:b/>
          <w:color w:val="000000"/>
          <w:sz w:val="24"/>
        </w:rPr>
        <w:t>Section 3.04    Sinking Fund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lineRule="auto" w:line="288" w:before="0" w:after="240"/>
        <w:jc w:val="both"/>
        <w:rPr/>
      </w:pPr>
      <w:r>
        <w:rPr>
          <w:rFonts w:ascii="Times New Roman;sans-serif" w:hAnsi="Times New Roman;sans-serif"/>
          <w:b/>
          <w:color w:val="000000"/>
          <w:sz w:val="24"/>
        </w:rPr>
        <w:t>Section 3.04    Satisfaction of Sinking Fund Payments with Securities</w:t>
      </w:r>
      <w:r>
        <w:rPr>
          <w:rFonts w:ascii="Times New Roman;sans-serif" w:hAnsi="Times New Roman;sans-serif"/>
          <w:b w:val="false"/>
          <w:color w:val="000000"/>
          <w:sz w:val="24"/>
        </w:rPr>
        <w:t>.</w:t>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redemption through operation of the sinking fund and the amount of such sinking fund payment shall be reduced accordingly.</w:t>
      </w:r>
    </w:p>
    <w:p>
      <w:pPr>
        <w:pStyle w:val="TextBody"/>
        <w:bidi w:val="0"/>
        <w:spacing w:lineRule="auto" w:line="288" w:before="0" w:after="240"/>
        <w:jc w:val="both"/>
        <w:rPr/>
      </w:pPr>
      <w:r>
        <w:rPr>
          <w:rFonts w:ascii="Times New Roman;sans-serif" w:hAnsi="Times New Roman;sans-serif"/>
          <w:b/>
          <w:color w:val="000000"/>
          <w:sz w:val="24"/>
        </w:rPr>
        <w:t>Section 3.06    Redemption of Securities for Sinking Fund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4</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COVENANTS</w:t>
      </w:r>
    </w:p>
    <w:p>
      <w:pPr>
        <w:pStyle w:val="TextBody"/>
        <w:bidi w:val="0"/>
        <w:spacing w:lineRule="auto" w:line="288" w:before="0" w:after="240"/>
        <w:jc w:val="both"/>
        <w:rPr/>
      </w:pPr>
      <w:r>
        <w:rPr>
          <w:rFonts w:ascii="Times New Roman;sans-serif" w:hAnsi="Times New Roman;sans-serif"/>
          <w:b/>
          <w:color w:val="000000"/>
          <w:sz w:val="24"/>
        </w:rPr>
        <w:t>Section 4.01    Payment of Principal, Premium and Interest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lineRule="auto" w:line="288" w:before="0" w:after="240"/>
        <w:jc w:val="both"/>
        <w:rPr/>
      </w:pPr>
      <w:r>
        <w:rPr>
          <w:rFonts w:ascii="Times New Roman;sans-serif" w:hAnsi="Times New Roman;sans-serif"/>
          <w:b/>
          <w:color w:val="000000"/>
          <w:sz w:val="24"/>
        </w:rPr>
        <w:t>Section 4.02    Maintenance of Office or Agency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lineRule="auto" w:line="288" w:before="0" w:after="240"/>
        <w:jc w:val="both"/>
        <w:rPr/>
      </w:pPr>
      <w:r>
        <w:rPr>
          <w:rFonts w:ascii="Times New Roman;sans-serif" w:hAnsi="Times New Roman;sans-serif"/>
          <w:b/>
          <w:color w:val="000000"/>
          <w:sz w:val="24"/>
        </w:rPr>
        <w:t>Section 4.03    Paying Agents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    that it will perform all other duties of paying agent as set forth in this Indenture.</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lineRule="auto" w:line="288" w:before="0" w:after="240"/>
        <w:jc w:val="both"/>
        <w:rPr/>
      </w:pPr>
      <w:r>
        <w:rPr>
          <w:rFonts w:ascii="Times New Roman;sans-serif" w:hAnsi="Times New Roman;sans-serif"/>
          <w:b/>
          <w:color w:val="000000"/>
          <w:sz w:val="24"/>
        </w:rPr>
        <w:t>Section 4.03    Appointment to Fill Vacancy in Office of Trustee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whenever necessary to avoid or fill a vacancy in the office of Trustee, will appoint, in the manner provided in Section 7.10, a Trustee, so that there shall at all times be a Trustee hereunder.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5</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SECURITYHOLDERS’ LISTS AND REPORTS BY THE COMPANY AND THE TRUSTEE</w:t>
      </w:r>
    </w:p>
    <w:p>
      <w:pPr>
        <w:pStyle w:val="TextBody"/>
        <w:bidi w:val="0"/>
        <w:spacing w:lineRule="auto" w:line="288" w:before="0" w:after="240"/>
        <w:jc w:val="both"/>
        <w:rPr/>
      </w:pPr>
      <w:r>
        <w:rPr>
          <w:rFonts w:ascii="Times New Roman;sans-serif" w:hAnsi="Times New Roman;sans-serif"/>
          <w:b/>
          <w:color w:val="000000"/>
          <w:sz w:val="24"/>
        </w:rPr>
        <w:t>Section 5.01    Company to Furnish Trustee Names and Addresses of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lineRule="auto" w:line="288" w:before="0" w:after="240"/>
        <w:jc w:val="both"/>
        <w:rPr/>
      </w:pPr>
      <w:r>
        <w:rPr>
          <w:rFonts w:ascii="Times New Roman;sans-serif" w:hAnsi="Times New Roman;sans-serif"/>
          <w:b/>
          <w:color w:val="000000"/>
          <w:sz w:val="24"/>
        </w:rPr>
        <w:t>Section 5.02    Preservation Of Information; Communications With Securityholders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Trustee may destroy any list furnished to it as provided in Section 5.01 upon receipt of a new list so furnished.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Securityholders may communicate as provided in Section 312(b) of the Trust Indenture Act with other Securityholders with respect to their rights under this Indenture or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7"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lineRule="auto" w:line="288" w:before="0" w:after="240"/>
        <w:jc w:val="both"/>
        <w:rPr/>
      </w:pPr>
      <w:r>
        <w:rPr>
          <w:rFonts w:ascii="Times New Roman;sans-serif" w:hAnsi="Times New Roman;sans-serif"/>
          <w:b/>
          <w:color w:val="000000"/>
          <w:sz w:val="24"/>
        </w:rPr>
        <w:t>Section 5.03    Reports by the Company</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lineRule="auto" w:line="288" w:before="0" w:after="240"/>
        <w:jc w:val="both"/>
        <w:rPr/>
      </w:pPr>
      <w:r>
        <w:rPr>
          <w:rFonts w:ascii="Times New Roman;sans-serif" w:hAnsi="Times New Roman;sans-serif"/>
          <w:b/>
          <w:color w:val="000000"/>
          <w:sz w:val="24"/>
        </w:rPr>
        <w:t>Section 5.04    Reports by the Trustee</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Trustee shall comply with Section 313(b) and 313(c) of the Trust Indenture Act.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6</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REMEDIES OF THE TRUSTEE AND SECURITYHOLDERS ON EVENT OF DEFAULT</w:t>
      </w:r>
    </w:p>
    <w:p>
      <w:pPr>
        <w:pStyle w:val="TextBody"/>
        <w:bidi w:val="0"/>
        <w:spacing w:lineRule="auto" w:line="288" w:before="0" w:after="240"/>
        <w:jc w:val="both"/>
        <w:rPr/>
      </w:pPr>
      <w:r>
        <w:rPr>
          <w:rFonts w:ascii="Times New Roman;sans-serif" w:hAnsi="Times New Roman;sans-serif"/>
          <w:b/>
          <w:color w:val="000000"/>
          <w:sz w:val="24"/>
        </w:rPr>
        <w:t>Section 6.01    Events of Default</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Whenever used herein with respect to Securities of a particular series, “Event of Default” means any one or more of the following events that has occurred and is continuing: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9"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such rescission and annulment shall extend to or shall affect any subsequent default or impair any right consequent thereon.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lineRule="auto" w:line="288" w:before="0" w:after="240"/>
        <w:jc w:val="both"/>
        <w:rPr/>
      </w:pPr>
      <w:r>
        <w:rPr>
          <w:rFonts w:ascii="Times New Roman;sans-serif" w:hAnsi="Times New Roman;sans-serif"/>
          <w:b/>
          <w:color w:val="000000"/>
          <w:sz w:val="24"/>
        </w:rPr>
        <w:t>Section 6.02    Collection of Indebtedness and Suits for Enforcement by Trustee</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0"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lineRule="auto" w:line="288" w:before="0" w:after="240"/>
        <w:jc w:val="both"/>
        <w:rPr/>
      </w:pPr>
      <w:r>
        <w:rPr>
          <w:rFonts w:ascii="Times New Roman;sans-serif" w:hAnsi="Times New Roman;sans-serif"/>
          <w:b/>
          <w:color w:val="000000"/>
          <w:sz w:val="24"/>
        </w:rPr>
        <w:t>Section 6.03    Application of Moneys Collected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FIRST: To the payment of costs and expenses of collection and of all amounts payable to the Trustee under Section 7.06;</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THIRD: To the payment of the remainder, if any, to the Company or any other Person lawfully entitled thereto.</w:t>
      </w:r>
    </w:p>
    <w:p>
      <w:pPr>
        <w:pStyle w:val="TextBody"/>
        <w:bidi w:val="0"/>
        <w:spacing w:lineRule="auto" w:line="288" w:before="0" w:after="240"/>
        <w:jc w:val="both"/>
        <w:rPr/>
      </w:pPr>
      <w:r>
        <w:rPr>
          <w:rFonts w:ascii="Times New Roman;sans-serif" w:hAnsi="Times New Roman;sans-serif"/>
          <w:b/>
          <w:color w:val="000000"/>
          <w:sz w:val="24"/>
        </w:rPr>
        <w:t>Section 6.04    Limitation on Suits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2"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lineRule="auto" w:line="288" w:before="0" w:after="240"/>
        <w:jc w:val="both"/>
        <w:rPr/>
      </w:pPr>
      <w:r>
        <w:rPr>
          <w:rFonts w:ascii="Times New Roman;sans-serif" w:hAnsi="Times New Roman;sans-serif"/>
          <w:b/>
          <w:color w:val="000000"/>
          <w:sz w:val="24"/>
        </w:rPr>
        <w:t>Section 6.05    Rights and Remedies Cumulative; Delay or Omission Not Waiver</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lineRule="auto" w:line="288" w:before="0" w:after="240"/>
        <w:jc w:val="both"/>
        <w:rPr/>
      </w:pPr>
      <w:r>
        <w:rPr>
          <w:rFonts w:ascii="Times New Roman;sans-serif" w:hAnsi="Times New Roman;sans-serif"/>
          <w:b/>
          <w:color w:val="000000"/>
          <w:sz w:val="24"/>
        </w:rPr>
        <w:t>Section 6.06    Control by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3"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lineRule="auto" w:line="288" w:before="0" w:after="240"/>
        <w:jc w:val="both"/>
        <w:rPr/>
      </w:pPr>
      <w:r>
        <w:rPr>
          <w:rFonts w:ascii="Times New Roman;sans-serif" w:hAnsi="Times New Roman;sans-serif"/>
          <w:b/>
          <w:color w:val="000000"/>
          <w:sz w:val="24"/>
        </w:rPr>
        <w:t>Section 6.07    Undertaking to Pay Costs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7</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CONCERNING THE TRUSTEE</w:t>
      </w:r>
    </w:p>
    <w:p>
      <w:pPr>
        <w:pStyle w:val="TextBody"/>
        <w:bidi w:val="0"/>
        <w:spacing w:lineRule="auto" w:line="288" w:before="0" w:after="240"/>
        <w:jc w:val="both"/>
        <w:rPr/>
      </w:pPr>
      <w:r>
        <w:rPr>
          <w:rFonts w:ascii="Times New Roman;sans-serif" w:hAnsi="Times New Roman;sans-serif"/>
          <w:b/>
          <w:color w:val="000000"/>
          <w:sz w:val="24"/>
        </w:rPr>
        <w:t>Section 7.01    Certain Duties and Responsibilities of Trustee</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4"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 provision of this Indenture shall be construed to relieve the Trustee from liability for its own negligent action, its own negligent failure to act, or its own willful misconduct, except that: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prior to the occurrence of an Event of Default with respect to the Securities of a series and after the curing or waiving of all such Events of Default with respect to that series that may have occurred: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(iv)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    The Trustee shall not be required to give any bond or surety in respect of the performance of its powers or duties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(vi)    The permissive right of the Trustee to do things enumerated in this Indenture shall not be construed as a duty of the Trustee; and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(vii)    No Trustee shall have any duty or responsibility for any act or omission of any other Trustee appointed with respect to a series of Securities hereunder.</w:t>
      </w:r>
    </w:p>
    <w:p>
      <w:pPr>
        <w:pStyle w:val="TextBody"/>
        <w:bidi w:val="0"/>
        <w:spacing w:lineRule="auto" w:line="288" w:before="0" w:after="240"/>
        <w:jc w:val="both"/>
        <w:rPr/>
      </w:pPr>
      <w:r>
        <w:rPr>
          <w:rFonts w:ascii="Times New Roman;sans-serif" w:hAnsi="Times New Roman;sans-serif"/>
          <w:b/>
          <w:color w:val="000000"/>
          <w:sz w:val="24"/>
        </w:rPr>
        <w:t>Section 7.02    Certain Rights of Trustee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provided in Section 7.01: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(k)    The rights, privileges, protections, immunities and benefits given to the Trustee, including, without limitation, its right to be indemnified, are extended to, and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enforceable by, the Trustee in each of its capacities hereunder and under the Securities, and each agent, custodian or other person employed to act under this Indenture; and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lineRule="auto" w:line="288" w:before="0" w:after="240"/>
        <w:jc w:val="both"/>
        <w:rPr/>
      </w:pPr>
      <w:r>
        <w:rPr>
          <w:rFonts w:ascii="Times New Roman;sans-serif" w:hAnsi="Times New Roman;sans-serif"/>
          <w:b/>
          <w:color w:val="000000"/>
          <w:sz w:val="24"/>
        </w:rPr>
        <w:t>Section 7.03    Trustee Not Responsible for Recitals or Issuance or Securities</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Trustee makes no representations as to the validity or sufficiency of this Indenture or of the Securities.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lineRule="auto" w:line="288" w:before="0" w:after="240"/>
        <w:jc w:val="both"/>
        <w:rPr/>
      </w:pPr>
      <w:r>
        <w:rPr>
          <w:rFonts w:ascii="Times New Roman;sans-serif" w:hAnsi="Times New Roman;sans-serif"/>
          <w:b/>
          <w:color w:val="000000"/>
          <w:sz w:val="24"/>
        </w:rPr>
        <w:t>Section 7.04    May Hold Securities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lineRule="auto" w:line="288" w:before="0" w:after="240"/>
        <w:jc w:val="both"/>
        <w:rPr/>
      </w:pPr>
      <w:r>
        <w:rPr>
          <w:rFonts w:ascii="Times New Roman;sans-serif" w:hAnsi="Times New Roman;sans-serif"/>
          <w:b/>
          <w:color w:val="000000"/>
          <w:sz w:val="24"/>
        </w:rPr>
        <w:t>Section 7.05    Moneys Held in Trust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lineRule="auto" w:line="288" w:before="0" w:after="240"/>
        <w:jc w:val="both"/>
        <w:rPr/>
      </w:pPr>
      <w:r>
        <w:rPr>
          <w:rFonts w:ascii="Times New Roman;sans-serif" w:hAnsi="Times New Roman;sans-serif"/>
          <w:b/>
          <w:color w:val="000000"/>
          <w:sz w:val="24"/>
        </w:rPr>
        <w:t>Section 7.06    Compensation and Reimbursement</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reasonable out-of-pocket expenses incurred by it. Such expenses shall include the reasonable compensation and expenses of the Trustee’s agents and counsel.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lineRule="auto" w:line="288" w:before="0" w:after="0"/>
        <w:jc w:val="both"/>
        <w:rPr/>
      </w:pPr>
      <w:r>
        <w:rPr>
          <w:rFonts w:ascii="Times New Roman;sans-serif" w:hAnsi="Times New Roman;sans-serif"/>
          <w:b/>
          <w:color w:val="000000"/>
          <w:sz w:val="24"/>
        </w:rPr>
        <w:t>Section 7.07    Reliance on Officer’s Certificate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lineRule="auto" w:line="288" w:before="0" w:after="240"/>
        <w:jc w:val="both"/>
        <w:rPr/>
      </w:pPr>
      <w:r>
        <w:rPr>
          <w:rFonts w:ascii="Times New Roman;sans-serif" w:hAnsi="Times New Roman;sans-serif"/>
          <w:b/>
          <w:color w:val="000000"/>
          <w:sz w:val="24"/>
        </w:rPr>
        <w:t>Section 7.08    Disqualification; Conflicting Interests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Section 7.09    Corporate Trustee Required; Eligibility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lineRule="auto" w:line="288" w:before="0" w:after="240"/>
        <w:jc w:val="both"/>
        <w:rPr/>
      </w:pPr>
      <w:r>
        <w:rPr>
          <w:rFonts w:ascii="Times New Roman;sans-serif" w:hAnsi="Times New Roman;sans-serif"/>
          <w:b/>
          <w:color w:val="000000"/>
          <w:sz w:val="24"/>
        </w:rPr>
        <w:t>Section 7.10    Resignation and Removal; Appointment of Successor</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case at any time any one of the following shall occur: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Trustee shall cease to be eligible in accordance with the provisions of Section 7.09 and shall fail to resign after written request therefor by the Company or by any such Securityholder; or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lineRule="auto" w:line="288" w:before="0" w:after="240"/>
        <w:jc w:val="both"/>
        <w:rPr/>
      </w:pPr>
      <w:r>
        <w:rPr>
          <w:rFonts w:ascii="Times New Roman;sans-serif" w:hAnsi="Times New Roman;sans-serif"/>
          <w:b/>
          <w:color w:val="000000"/>
          <w:sz w:val="24"/>
        </w:rPr>
        <w:t>Section 7.11    Acceptance of Appointment By Successor</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No successor trustee shall accept its appointment unless at the time of such acceptance such successor trustee shall be qualified and eligible under this Article.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lineRule="auto" w:line="288" w:before="0" w:after="240"/>
        <w:jc w:val="both"/>
        <w:rPr/>
      </w:pPr>
      <w:r>
        <w:rPr>
          <w:rFonts w:ascii="Times New Roman;sans-serif" w:hAnsi="Times New Roman;sans-serif"/>
          <w:b/>
          <w:color w:val="000000"/>
          <w:sz w:val="24"/>
        </w:rPr>
        <w:t>Section 7.12    Merger, Conversion, Consolidation or Succession to Business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lineRule="auto" w:line="288" w:before="0" w:after="240"/>
        <w:jc w:val="both"/>
        <w:rPr/>
      </w:pPr>
      <w:r>
        <w:rPr>
          <w:rFonts w:ascii="Times New Roman;sans-serif" w:hAnsi="Times New Roman;sans-serif"/>
          <w:b/>
          <w:color w:val="000000"/>
          <w:sz w:val="24"/>
        </w:rPr>
        <w:t>Section 7.13    Preferential Collection of Claims Against the Company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lineRule="auto" w:line="288" w:before="0" w:after="240"/>
        <w:jc w:val="both"/>
        <w:rPr/>
      </w:pPr>
      <w:r>
        <w:rPr>
          <w:rFonts w:ascii="Times New Roman;sans-serif" w:hAnsi="Times New Roman;sans-serif"/>
          <w:b/>
          <w:color w:val="000000"/>
          <w:sz w:val="24"/>
        </w:rPr>
        <w:t>Section 7.14    Notice of Default</w:t>
      </w:r>
      <w:r>
        <w:rPr>
          <w:rFonts w:ascii="Times New Roman;sans-serif" w:hAnsi="Times New Roman;sans-serif"/>
          <w:b w:val="false"/>
          <w:color w:val="000000"/>
          <w:sz w:val="24"/>
        </w:rPr>
        <w: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8</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CONCERNING THE SECURITYHOLDERS</w:t>
      </w:r>
    </w:p>
    <w:p>
      <w:pPr>
        <w:pStyle w:val="TextBody"/>
        <w:bidi w:val="0"/>
        <w:spacing w:lineRule="auto" w:line="288" w:before="0" w:after="240"/>
        <w:jc w:val="both"/>
        <w:rPr/>
      </w:pPr>
      <w:r>
        <w:rPr>
          <w:rFonts w:ascii="Times New Roman;sans-serif" w:hAnsi="Times New Roman;sans-serif"/>
          <w:b/>
          <w:color w:val="000000"/>
          <w:sz w:val="24"/>
        </w:rPr>
        <w:t>Section 8.01    Evidence of Action by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3"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lineRule="auto" w:line="288" w:before="0" w:after="240"/>
        <w:jc w:val="both"/>
        <w:rPr/>
      </w:pPr>
      <w:r>
        <w:rPr>
          <w:rFonts w:ascii="Times New Roman;sans-serif" w:hAnsi="Times New Roman;sans-serif"/>
          <w:b/>
          <w:color w:val="000000"/>
          <w:sz w:val="24"/>
        </w:rPr>
        <w:t>Section 8.02    Proof of Execution by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fact and date of the execution by any such Person of any instrument may be proved in any reasonable manner acceptable to the Trustee.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The ownership of Securities shall be proved by the Security Register of such Securities or by a certificate of the Security Registrar thereof.</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may require such additional proof of any matter referred to in this Section as it shall deem necessary.</w:t>
      </w:r>
    </w:p>
    <w:p>
      <w:pPr>
        <w:pStyle w:val="TextBody"/>
        <w:bidi w:val="0"/>
        <w:spacing w:lineRule="auto" w:line="288" w:before="0" w:after="240"/>
        <w:jc w:val="both"/>
        <w:rPr/>
      </w:pPr>
      <w:r>
        <w:rPr>
          <w:rFonts w:ascii="Times New Roman;sans-serif" w:hAnsi="Times New Roman;sans-serif"/>
          <w:b/>
          <w:color w:val="000000"/>
          <w:sz w:val="24"/>
        </w:rPr>
        <w:t>Section 8.03    Who May be Deemed Owners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lineRule="auto" w:line="288" w:before="0" w:after="240"/>
        <w:jc w:val="both"/>
        <w:rPr/>
      </w:pPr>
      <w:r>
        <w:rPr>
          <w:rFonts w:ascii="Times New Roman;sans-serif" w:hAnsi="Times New Roman;sans-serif"/>
          <w:b/>
          <w:color w:val="000000"/>
          <w:sz w:val="24"/>
        </w:rPr>
        <w:t>Section 8.04    Certain Securities Owned by Company Disregarded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lineRule="auto" w:line="288" w:before="0" w:after="240"/>
        <w:jc w:val="both"/>
        <w:rPr/>
      </w:pPr>
      <w:r>
        <w:rPr>
          <w:rFonts w:ascii="Times New Roman;sans-serif" w:hAnsi="Times New Roman;sans-serif"/>
          <w:b/>
          <w:color w:val="000000"/>
          <w:sz w:val="24"/>
        </w:rPr>
        <w:t>Section 8.05    Actions Binding on Future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9</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SUPPLEMENTAL INDENTURES</w:t>
      </w:r>
    </w:p>
    <w:p>
      <w:pPr>
        <w:pStyle w:val="TextBody"/>
        <w:bidi w:val="0"/>
        <w:spacing w:lineRule="auto" w:line="288" w:before="0" w:after="240"/>
        <w:jc w:val="both"/>
        <w:rPr/>
      </w:pPr>
      <w:r>
        <w:rPr>
          <w:rFonts w:ascii="Times New Roman;sans-serif" w:hAnsi="Times New Roman;sans-serif"/>
          <w:b/>
          <w:color w:val="000000"/>
          <w:sz w:val="24"/>
        </w:rPr>
        <w:t>Section 9.01    Supplemental Indentures Without the Consent of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to cure any ambiguity, defect, or inconsistency herein or in the Securities of any series;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to comply with Article Ten;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to provide for uncertificated Securities in addition to or in place of certificated Securities;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to add to the covenants, restrictions, conditions or provisions relating to the Company for the benefit of the holders of all or any series of Securities (and if such covenants, restrictions,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to add to, delete from, or revise the conditions, limitations, and restrictions on the authorized amount, terms, or purposes of issue, authentication, and delivery of Securities, as herein set forth;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to make any change that does not adversely affect the rights of any Securityholder in any material respect;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to evidence and provide for the acceptance of appointment hereunder by a successor trustee; or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    to comply with any requirements of the Commission or any successor in connection with the qualification of this Indenture under the Trust Indenture Act.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lineRule="auto" w:line="288" w:before="0" w:after="240"/>
        <w:jc w:val="both"/>
        <w:rPr/>
      </w:pPr>
      <w:r>
        <w:rPr>
          <w:rFonts w:ascii="Times New Roman;sans-serif" w:hAnsi="Times New Roman;sans-serif"/>
          <w:b/>
          <w:color w:val="000000"/>
          <w:sz w:val="24"/>
        </w:rPr>
        <w:t>Section 9.02    Supplemental Indentures With Consent of Securityholders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6"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lineRule="auto" w:line="288" w:before="0" w:after="240"/>
        <w:jc w:val="both"/>
        <w:rPr/>
      </w:pPr>
      <w:r>
        <w:rPr>
          <w:rFonts w:ascii="Times New Roman;sans-serif" w:hAnsi="Times New Roman;sans-serif"/>
          <w:b/>
          <w:color w:val="000000"/>
          <w:sz w:val="24"/>
        </w:rPr>
        <w:t>Section 9.03    Effect of Supplemental Indentures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88" w:before="0" w:after="240"/>
        <w:jc w:val="both"/>
        <w:rPr/>
      </w:pPr>
      <w:r>
        <w:rPr>
          <w:rFonts w:ascii="Times New Roman;sans-serif" w:hAnsi="Times New Roman;sans-serif"/>
          <w:b/>
          <w:color w:val="000000"/>
          <w:sz w:val="24"/>
        </w:rPr>
        <w:t>Section 9.04    Securities Affected by Supplemental Indentures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lineRule="auto" w:line="288" w:before="0" w:after="240"/>
        <w:jc w:val="both"/>
        <w:rPr/>
      </w:pPr>
      <w:r>
        <w:rPr>
          <w:rFonts w:ascii="Times New Roman;sans-serif" w:hAnsi="Times New Roman;sans-serif"/>
          <w:b/>
          <w:color w:val="000000"/>
          <w:sz w:val="24"/>
        </w:rPr>
        <w:t>Section 9.05    Execution of Supplemental Indentures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 be provided in connection with the execution of a supplemental indenture that establishes the terms of a series of Securities pursuant to Section 2.01 hereof.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10</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SUCCESSOR ENTITY</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Section 10.01    Company May Consolidate, Etc.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lineRule="auto" w:line="288" w:before="0" w:after="240"/>
        <w:jc w:val="both"/>
        <w:rPr/>
      </w:pPr>
      <w:r>
        <w:rPr>
          <w:rFonts w:ascii="Times New Roman;sans-serif" w:hAnsi="Times New Roman;sans-serif"/>
          <w:b/>
          <w:color w:val="000000"/>
          <w:sz w:val="24"/>
        </w:rPr>
        <w:t>Section 10.02    Successor Entity Substituted</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8"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11</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SATISFACTION AND DISCHARGE</w:t>
      </w:r>
    </w:p>
    <w:p>
      <w:pPr>
        <w:pStyle w:val="TextBody"/>
        <w:bidi w:val="0"/>
        <w:spacing w:lineRule="auto" w:line="288" w:before="0" w:after="240"/>
        <w:jc w:val="both"/>
        <w:rPr/>
      </w:pPr>
      <w:r>
        <w:rPr>
          <w:rFonts w:ascii="Times New Roman;sans-serif" w:hAnsi="Times New Roman;sans-serif"/>
          <w:b/>
          <w:color w:val="000000"/>
          <w:sz w:val="24"/>
        </w:rPr>
        <w:t>Section 11.01    Satisfaction and Discharge of Indenture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lineRule="auto" w:line="288" w:before="0" w:after="240"/>
        <w:jc w:val="both"/>
        <w:rPr/>
      </w:pPr>
      <w:r>
        <w:rPr>
          <w:rFonts w:ascii="Times New Roman;sans-serif" w:hAnsi="Times New Roman;sans-serif"/>
          <w:b/>
          <w:color w:val="000000"/>
          <w:sz w:val="24"/>
        </w:rPr>
        <w:t>Section 11.02    Discharge of Obligations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9"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Thereafter, Sections 7.06 and 11.05 shall survive.</w:t>
      </w:r>
    </w:p>
    <w:p>
      <w:pPr>
        <w:pStyle w:val="TextBody"/>
        <w:bidi w:val="0"/>
        <w:spacing w:lineRule="auto" w:line="288" w:before="0" w:after="240"/>
        <w:jc w:val="both"/>
        <w:rPr/>
      </w:pPr>
      <w:r>
        <w:rPr>
          <w:rFonts w:ascii="Times New Roman;sans-serif" w:hAnsi="Times New Roman;sans-serif"/>
          <w:b/>
          <w:color w:val="000000"/>
          <w:sz w:val="24"/>
        </w:rPr>
        <w:t>Section 11.03    Deposited Moneys to be Held in Trust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lineRule="auto" w:line="288" w:before="0" w:after="240"/>
        <w:jc w:val="both"/>
        <w:rPr/>
      </w:pPr>
      <w:r>
        <w:rPr>
          <w:rFonts w:ascii="Times New Roman;sans-serif" w:hAnsi="Times New Roman;sans-serif"/>
          <w:b/>
          <w:color w:val="000000"/>
          <w:sz w:val="24"/>
        </w:rPr>
        <w:t>Section 11.04    Payment of Moneys Held by Paying Agents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lineRule="auto" w:line="288" w:before="0" w:after="240"/>
        <w:jc w:val="both"/>
        <w:rPr/>
      </w:pPr>
      <w:r>
        <w:rPr>
          <w:rFonts w:ascii="Times New Roman;sans-serif" w:hAnsi="Times New Roman;sans-serif"/>
          <w:b/>
          <w:color w:val="000000"/>
          <w:sz w:val="24"/>
        </w:rPr>
        <w:t>Section 11.05    Repayment to Company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0"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12</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IMMUNITY OF INCORPORATORS, STOCKHOLDERS, OFFICERS AND DIRECTORS</w:t>
      </w:r>
    </w:p>
    <w:p>
      <w:pPr>
        <w:pStyle w:val="TextBody"/>
        <w:bidi w:val="0"/>
        <w:spacing w:lineRule="auto" w:line="288" w:before="0" w:after="240"/>
        <w:jc w:val="both"/>
        <w:rPr/>
      </w:pPr>
      <w:r>
        <w:rPr>
          <w:rFonts w:ascii="Times New Roman;sans-serif" w:hAnsi="Times New Roman;sans-serif"/>
          <w:b/>
          <w:color w:val="000000"/>
          <w:sz w:val="24"/>
        </w:rPr>
        <w:t>Section 12.01    No Recourse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13</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MISCELLANEOUS PROVISIONS</w:t>
      </w:r>
    </w:p>
    <w:p>
      <w:pPr>
        <w:pStyle w:val="TextBody"/>
        <w:bidi w:val="0"/>
        <w:spacing w:lineRule="auto" w:line="288" w:before="0" w:after="240"/>
        <w:jc w:val="both"/>
        <w:rPr/>
      </w:pPr>
      <w:r>
        <w:rPr>
          <w:rFonts w:ascii="Times New Roman;sans-serif" w:hAnsi="Times New Roman;sans-serif"/>
          <w:b/>
          <w:color w:val="000000"/>
          <w:sz w:val="24"/>
        </w:rPr>
        <w:t>Section 13.01    Effect on Successors and Assigns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the covenants, stipulations, promises and agreements in this Indenture made by or on behalf of the Company shall bind its successors and assigns, whether so expressed or not.</w:t>
      </w:r>
    </w:p>
    <w:p>
      <w:pPr>
        <w:pStyle w:val="TextBody"/>
        <w:bidi w:val="0"/>
        <w:spacing w:lineRule="auto" w:line="288" w:before="0" w:after="240"/>
        <w:jc w:val="both"/>
        <w:rPr/>
      </w:pPr>
      <w:r>
        <w:rPr>
          <w:rFonts w:ascii="Times New Roman;sans-serif" w:hAnsi="Times New Roman;sans-serif"/>
          <w:b/>
          <w:color w:val="000000"/>
          <w:sz w:val="24"/>
        </w:rPr>
        <w:t>Section 13.02    Actions by Successor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lineRule="auto" w:line="288" w:before="0" w:after="240"/>
        <w:jc w:val="both"/>
        <w:rPr/>
      </w:pPr>
      <w:r>
        <w:rPr>
          <w:rFonts w:ascii="Times New Roman;sans-serif" w:hAnsi="Times New Roman;sans-serif"/>
          <w:b/>
          <w:color w:val="000000"/>
          <w:sz w:val="24"/>
        </w:rPr>
        <w:t>Section 13.03    Surrender of Company Powers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by instrument in writing executed by authority of its Board of Directors and delivered to the Trustee may surrender any of the powers reserved to the Company, and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1"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thereupon such power so surrendered shall terminate both as to the Company and as to any successor corporation.</w:t>
      </w:r>
    </w:p>
    <w:p>
      <w:pPr>
        <w:pStyle w:val="TextBody"/>
        <w:bidi w:val="0"/>
        <w:spacing w:lineRule="auto" w:line="288" w:before="0" w:after="240"/>
        <w:jc w:val="both"/>
        <w:rPr/>
      </w:pPr>
      <w:r>
        <w:rPr>
          <w:rFonts w:ascii="Times New Roman;sans-serif" w:hAnsi="Times New Roman;sans-serif"/>
          <w:b/>
          <w:color w:val="000000"/>
          <w:sz w:val="24"/>
        </w:rPr>
        <w:t>Section 13.04    Notices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color w:val="000000"/>
          <w:u w:val="single"/>
        </w:rPr>
        <w:t>                                                                                                           </w:t>
      </w:r>
      <w:r>
        <w:rPr>
          <w:rFonts w:ascii="Times New Roman;sans-serif" w:hAnsi="Times New Roman;sans-serif"/>
          <w:b w:val="false"/>
          <w:color w:val="000000"/>
          <w:sz w:val="24"/>
        </w:rPr>
        <w: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lineRule="auto" w:line="288" w:before="0" w:after="240"/>
        <w:jc w:val="both"/>
        <w:rPr/>
      </w:pPr>
      <w:r>
        <w:rPr>
          <w:rFonts w:ascii="Times New Roman;sans-serif" w:hAnsi="Times New Roman;sans-serif"/>
          <w:b/>
          <w:color w:val="000000"/>
          <w:sz w:val="24"/>
        </w:rPr>
        <w:t>Section 13.05    Governing Law; Jury Trial Waiver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lineRule="auto" w:line="288" w:before="0" w:after="240"/>
        <w:jc w:val="both"/>
        <w:rPr/>
      </w:pPr>
      <w:r>
        <w:rPr>
          <w:rFonts w:ascii="Times New Roman;sans-serif" w:hAnsi="Times New Roman;sans-serif"/>
          <w:b/>
          <w:color w:val="000000"/>
          <w:sz w:val="24"/>
        </w:rPr>
        <w:t>Section 13.06    Treatment of Securities as Debt</w:t>
      </w:r>
      <w:r>
        <w:rPr>
          <w:rFonts w:ascii="Times New Roman;sans-serif" w:hAnsi="Times New Roman;sans-serif"/>
          <w:b w:val="false"/>
          <w:color w:val="000000"/>
          <w:sz w:val="24"/>
        </w:rPr>
        <w:t>.</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is intended that the Securities will be treated as indebtedness and not as equity for federal income tax purposes. The provisions of this Indenture shall be interpreted to further this intention.</w:t>
      </w:r>
    </w:p>
    <w:p>
      <w:pPr>
        <w:pStyle w:val="TextBody"/>
        <w:bidi w:val="0"/>
        <w:spacing w:lineRule="auto" w:line="288" w:before="0" w:after="240"/>
        <w:jc w:val="both"/>
        <w:rPr/>
      </w:pPr>
      <w:r>
        <w:rPr>
          <w:rFonts w:ascii="Times New Roman;sans-serif" w:hAnsi="Times New Roman;sans-serif"/>
          <w:b/>
          <w:color w:val="000000"/>
          <w:sz w:val="24"/>
        </w:rPr>
        <w:t>Section 13.07    Certificates and Opinions as to Conditions Precedent</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2"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lineRule="auto" w:line="288" w:before="0" w:after="240"/>
        <w:jc w:val="both"/>
        <w:rPr/>
      </w:pPr>
      <w:r>
        <w:rPr>
          <w:rFonts w:ascii="Times New Roman;sans-serif" w:hAnsi="Times New Roman;sans-serif"/>
          <w:b/>
          <w:color w:val="000000"/>
          <w:sz w:val="24"/>
        </w:rPr>
        <w:t>Section 13.08    Payments on Business Days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lineRule="auto" w:line="288" w:before="0" w:after="240"/>
        <w:jc w:val="both"/>
        <w:rPr/>
      </w:pPr>
      <w:r>
        <w:rPr>
          <w:rFonts w:ascii="Times New Roman;sans-serif" w:hAnsi="Times New Roman;sans-serif"/>
          <w:b/>
          <w:color w:val="000000"/>
          <w:sz w:val="24"/>
        </w:rPr>
        <w:t>Section 13.09    Conflict with Trust Indenture Act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and to the extent that any provision of this Indenture limits, qualifies or conflicts with the duties imposed by Section 318(c) of the Trust Indenture Act, such imposed duties shall control.</w:t>
      </w:r>
    </w:p>
    <w:p>
      <w:pPr>
        <w:pStyle w:val="TextBody"/>
        <w:bidi w:val="0"/>
        <w:spacing w:lineRule="auto" w:line="288" w:before="0" w:after="240"/>
        <w:jc w:val="both"/>
        <w:rPr/>
      </w:pPr>
      <w:r>
        <w:rPr>
          <w:rFonts w:ascii="Times New Roman;sans-serif" w:hAnsi="Times New Roman;sans-serif"/>
          <w:b/>
          <w:color w:val="000000"/>
          <w:sz w:val="24"/>
        </w:rPr>
        <w:t>Section 13.10    Counterparts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lineRule="auto" w:line="288" w:before="0" w:after="240"/>
        <w:jc w:val="both"/>
        <w:rPr/>
      </w:pPr>
      <w:r>
        <w:rPr>
          <w:rFonts w:ascii="Times New Roman;sans-serif" w:hAnsi="Times New Roman;sans-serif"/>
          <w:b/>
          <w:color w:val="000000"/>
          <w:sz w:val="24"/>
        </w:rPr>
        <w:t>Section 13.11    Separability</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3"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Section 13.12    Compliance Certificates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lineRule="auto" w:line="288" w:before="0" w:after="240"/>
        <w:jc w:val="both"/>
        <w:rPr/>
      </w:pPr>
      <w:r>
        <w:rPr>
          <w:rFonts w:ascii="Times New Roman;sans-serif" w:hAnsi="Times New Roman;sans-serif"/>
          <w:b/>
          <w:color w:val="000000"/>
          <w:sz w:val="24"/>
        </w:rPr>
        <w:t>Section 13.13    U.S.A Patriot Act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288" w:before="0" w:after="240"/>
        <w:jc w:val="both"/>
        <w:rPr/>
      </w:pPr>
      <w:r>
        <w:rPr>
          <w:rFonts w:ascii="Times New Roman;sans-serif" w:hAnsi="Times New Roman;sans-serif"/>
          <w:b/>
          <w:color w:val="000000"/>
          <w:sz w:val="24"/>
        </w:rPr>
        <w:t>Section 13.14    Force Majeure</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Section 13.15    Table of Contents; Headings.</w:t>
      </w:r>
    </w:p>
    <w:p>
      <w:pPr>
        <w:pStyle w:val="TextBody"/>
        <w:bidi w:val="0"/>
        <w:spacing w:lineRule="auto" w:line="288" w:before="0" w:after="7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table of contents and headings of the articles and sections of this Indenture have been inserted for convenience of reference only, are not intended to be considered a part hereof, and will not modify or restrict any of the terms or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4"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caused this Indenture to be duly executed all as of the day and year first above written.</w:t>
      </w:r>
    </w:p>
    <w:tbl>
      <w:tblPr>
        <w:tblW w:w="2188" w:type="dxa"/>
        <w:jc w:val="right"/>
        <w:tblInd w:w="0" w:type="dxa"/>
        <w:tblLayout w:type="fixed"/>
        <w:tblCellMar>
          <w:top w:w="28" w:type="dxa"/>
          <w:left w:w="28" w:type="dxa"/>
          <w:bottom w:w="28" w:type="dxa"/>
          <w:right w:w="28" w:type="dxa"/>
        </w:tblCellMar>
      </w:tblPr>
      <w:tblGrid>
        <w:gridCol w:w="235"/>
        <w:gridCol w:w="208"/>
        <w:gridCol w:w="211"/>
        <w:gridCol w:w="163"/>
        <w:gridCol w:w="163"/>
        <w:gridCol w:w="163"/>
        <w:gridCol w:w="163"/>
        <w:gridCol w:w="163"/>
        <w:gridCol w:w="163"/>
        <w:gridCol w:w="163"/>
        <w:gridCol w:w="163"/>
        <w:gridCol w:w="230"/>
      </w:tblGrid>
      <w:tr>
        <w:trPr/>
        <w:tc>
          <w:tcPr>
            <w:tcW w:w="2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188"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Life360, Inc.</w:t>
            </w:r>
          </w:p>
        </w:tc>
      </w:tr>
      <w:tr>
        <w:trPr/>
        <w:tc>
          <w:tcPr>
            <w:tcW w:w="65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2"/>
              </w:rPr>
              <w:t>[Trustee]</w:t>
            </w:r>
            <w:r>
              <w:rPr>
                <w:rFonts w:ascii="Times New Roman;sans-serif" w:hAnsi="Times New Roman;sans-serif"/>
                <w:b w:val="false"/>
                <w:color w:val="000000"/>
                <w:sz w:val="22"/>
              </w:rPr>
              <w:t xml:space="preserve">, as Trustee </w:t>
            </w:r>
          </w:p>
        </w:tc>
      </w:tr>
      <w:tr>
        <w:trPr/>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5"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CROSS-REFERENCE TABLE (1)</w:t>
      </w:r>
    </w:p>
    <w:tbl>
      <w:tblPr>
        <w:tblW w:w="7169" w:type="dxa"/>
        <w:jc w:val="left"/>
        <w:tblInd w:w="0" w:type="dxa"/>
        <w:tblLayout w:type="fixed"/>
        <w:tblCellMar>
          <w:top w:w="28" w:type="dxa"/>
          <w:left w:w="28" w:type="dxa"/>
          <w:bottom w:w="28" w:type="dxa"/>
          <w:right w:w="28" w:type="dxa"/>
        </w:tblCellMar>
      </w:tblPr>
      <w:tblGrid>
        <w:gridCol w:w="1849"/>
        <w:gridCol w:w="1621"/>
        <w:gridCol w:w="1630"/>
        <w:gridCol w:w="604"/>
        <w:gridCol w:w="604"/>
        <w:gridCol w:w="861"/>
      </w:tblGrid>
      <w:tr>
        <w:trPr/>
        <w:tc>
          <w:tcPr>
            <w:tcW w:w="184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of Trust Indenture Act of 1939, as Amended</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of Indenture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310(a)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7.09</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310(b)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7.08</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310(c)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Inapplicable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311(a)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7.13</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311(b)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7.13</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311(c)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Inapplicable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312(a)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5.01</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5.02(a)</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312(b)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5.02(c)</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312(c)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5.02(c)</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313(a)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5.04(a)</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313(b)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5.04(b)</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313(c)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5.04(a)</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5.04(b)</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313(d)</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5.04(c)</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5.03</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13.12</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Inapplicable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13.07(a)</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314(d)</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Inapplicable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314(e)</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13.07(b)</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314(f)</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Inapplicable</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315(a)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7.01(a)</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7.01(b)</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315(b)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7.14</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315(c)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7.01</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315(d)</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7.01(b)</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315(e)</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6.07</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316(a)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6.06</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8.04</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316(b)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6.04</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316(c)</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8.01</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317(a)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6.02</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317(b)</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4.03</w:t>
            </w:r>
          </w:p>
        </w:tc>
      </w:tr>
      <w:tr>
        <w:trPr/>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318(a)</w:t>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13.09</w:t>
            </w:r>
          </w:p>
        </w:tc>
      </w:tr>
    </w:tbl>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(1)  This Cross-Reference Table does not constitute part of the Indenture and shall not have any bearing on the interpretation of any of its terms or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4.5</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0"/>
        <w:jc w:val="center"/>
        <w:rPr/>
      </w:pPr>
      <w:r>
        <w:rPr/>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_____________, As Warrant Agent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Common Stock</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Warrant Agreement</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7"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Life360, Inc. Form of Common Stock Warrant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This Common Stock Warrant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dated as of [______ __, ____], between </w:t>
      </w:r>
      <w:r>
        <w:rPr>
          <w:rFonts w:ascii="Times New Roman;sans-serif" w:hAnsi="Times New Roman;sans-serif"/>
          <w:b/>
          <w:color w:val="000000"/>
          <w:sz w:val="22"/>
        </w:rPr>
        <w:t>Life360,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 a [corporation] [national banking association] organized and existing under the laws of [●] and having a corporate trust office in [●],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proposes to sell [If Warrants are sold with other securities —[title of such other securities being offered] (the “</w:t>
      </w:r>
      <w:r>
        <w:rPr>
          <w:rFonts w:ascii="Times New Roman;sans-serif" w:hAnsi="Times New Roman;sans-serif"/>
          <w:b/>
          <w:i/>
          <w:color w:val="000000"/>
          <w:sz w:val="22"/>
        </w:rPr>
        <w:t>Other Securities</w:t>
      </w:r>
      <w:r>
        <w:rPr>
          <w:color w:val="000000"/>
        </w:rPr>
        <w:t>”</w:t>
      </w:r>
      <w:r>
        <w:rPr>
          <w:rFonts w:ascii="Times New Roman;sans-serif" w:hAnsi="Times New Roman;sans-serif"/>
          <w:b w:val="false"/>
          <w:color w:val="000000"/>
          <w:sz w:val="22"/>
        </w:rPr>
        <w:t>) with] warrant certificates evidencing one or more warrants (the “</w:t>
      </w:r>
      <w:r>
        <w:rPr>
          <w:rFonts w:ascii="Times New Roman;sans-serif" w:hAnsi="Times New Roman;sans-serif"/>
          <w:b/>
          <w:i/>
          <w:color w:val="000000"/>
          <w:sz w:val="22"/>
        </w:rPr>
        <w:t>Warrants</w:t>
      </w:r>
      <w:r>
        <w:rPr>
          <w:color w:val="000000"/>
        </w:rPr>
        <w:t xml:space="preserve">” </w:t>
      </w:r>
      <w:r>
        <w:rPr>
          <w:rFonts w:ascii="Times New Roman;sans-serif" w:hAnsi="Times New Roman;sans-serif"/>
          <w:b w:val="false"/>
          <w:color w:val="000000"/>
          <w:sz w:val="22"/>
        </w:rPr>
        <w:t>or, individually, a “</w:t>
      </w:r>
      <w:r>
        <w:rPr>
          <w:rFonts w:ascii="Times New Roman;sans-serif" w:hAnsi="Times New Roman;sans-serif"/>
          <w:b/>
          <w:i/>
          <w:color w:val="000000"/>
          <w:sz w:val="22"/>
        </w:rPr>
        <w:t>Warrant</w:t>
      </w:r>
      <w:r>
        <w:rPr>
          <w:color w:val="000000"/>
        </w:rPr>
        <w:t>”</w:t>
      </w:r>
      <w:r>
        <w:rPr>
          <w:rFonts w:ascii="Times New Roman;sans-serif" w:hAnsi="Times New Roman;sans-serif"/>
          <w:b w:val="false"/>
          <w:color w:val="000000"/>
          <w:sz w:val="22"/>
        </w:rPr>
        <w:t>) representing the right to purchase Common Stock of the Company,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such warrant certificates and other warrant certificates issued pursuant to this Agreement being herein called the “</w:t>
      </w:r>
      <w:r>
        <w:rPr>
          <w:rFonts w:ascii="Times New Roman;sans-serif" w:hAnsi="Times New Roman;sans-serif"/>
          <w:b/>
          <w:i/>
          <w:color w:val="000000"/>
          <w:sz w:val="22"/>
        </w:rPr>
        <w:t>Warrant Certificates</w:t>
      </w:r>
      <w:r>
        <w:rPr>
          <w:color w:val="000000"/>
        </w:rPr>
        <w:t>”</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ISSUANCE OF WARRANTS AND EXECUTION 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DELIVERY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Issuance of Warrants. </w:t>
      </w:r>
      <w:r>
        <w:rPr>
          <w:rFonts w:ascii="Times New Roman;sans-serif" w:hAnsi="Times New Roman;sans-serif"/>
          <w:b w:val="false"/>
          <w:color w:val="000000"/>
          <w:sz w:val="22"/>
        </w:rPr>
        <w:t>[</w:t>
      </w:r>
      <w:r>
        <w:rPr>
          <w:rFonts w:ascii="Times New Roman;sans-serif" w:hAnsi="Times New Roman;sans-serif"/>
          <w:b/>
          <w:i/>
          <w:color w:val="000000"/>
          <w:sz w:val="22"/>
        </w:rPr>
        <w:t>If Warrants alone</w:t>
      </w:r>
      <w:r>
        <w:rPr>
          <w:color w:val="000000"/>
        </w:rPr>
        <w:t xml:space="preserve"> —</w:t>
      </w:r>
      <w:r>
        <w:rPr>
          <w:rFonts w:ascii="Times New Roman;sans-serif" w:hAnsi="Times New Roman;sans-serif"/>
          <w:b w:val="false"/>
          <w:color w:val="000000"/>
          <w:sz w:val="22"/>
        </w:rPr>
        <w:t>Upon issuance, each Warrant Certificate shall evidence one or more Warrants.]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1.2    Execution and Delivery of Warrant Certificates. </w:t>
      </w:r>
      <w:r>
        <w:rPr>
          <w:rFonts w:ascii="Times New Roman;sans-serif" w:hAnsi="Times New Roman;sans-serif"/>
          <w:b w:val="false"/>
          <w:color w:val="000000"/>
          <w:sz w:val="22"/>
        </w:rPr>
        <w:t xml:space="preserve">Each Warrant Certificate, whenever issued, shall be in registered form substantially in the form set forth in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w:t>
      </w:r>
    </w:p>
    <w:p>
      <w:pPr>
        <w:pStyle w:val="TextBody"/>
        <w:bidi w:val="0"/>
        <w:spacing w:before="0" w:after="20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8"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holder of a Warrant Certificate</w:t>
      </w:r>
      <w:r>
        <w:rPr>
          <w:color w:val="000000"/>
        </w:rPr>
        <w:t xml:space="preserve">” </w:t>
      </w:r>
      <w:r>
        <w:rPr>
          <w:rFonts w:ascii="Times New Roman;sans-serif" w:hAnsi="Times New Roman;sans-serif"/>
          <w:b w:val="false"/>
          <w:color w:val="000000"/>
          <w:sz w:val="22"/>
        </w:rPr>
        <w:t xml:space="preserve">as used herein shall mean any person in whose name at the time any Warrant Certificate shall be registered upon the books to be maintained by the Warrant Agent for that purpose.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1.3    Issuance of Warrant Certificates. </w:t>
      </w:r>
      <w:r>
        <w:rPr>
          <w:rFonts w:ascii="Times New Roman;sans-serif" w:hAnsi="Times New Roman;sans-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2</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ans-serif" w:hAnsi="Times New Roman;sans-serif"/>
          <w:b/>
          <w:color w:val="000000"/>
          <w:sz w:val="22"/>
        </w:rPr>
        <w:t>2.1</w:t>
      </w:r>
      <w:r>
        <w:rPr>
          <w:color w:val="000000"/>
        </w:rPr>
        <w:t>    </w:t>
      </w:r>
      <w:r>
        <w:rPr>
          <w:rFonts w:ascii="Times New Roman;sans-serif" w:hAnsi="Times New Roman;sans-serif"/>
          <w:b/>
          <w:color w:val="000000"/>
          <w:sz w:val="22"/>
        </w:rPr>
        <w:t>Warrant Price.</w:t>
      </w:r>
      <w:r>
        <w:rPr>
          <w:color w:val="000000"/>
        </w:rPr>
        <w:t xml:space="preserve"> </w:t>
      </w:r>
      <w:r>
        <w:rPr>
          <w:rFonts w:ascii="Times New Roman;sans-serif" w:hAnsi="Times New Roman;sans-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w:t>
      </w:r>
      <w:r>
        <w:rPr>
          <w:rFonts w:ascii="Times New Roman;sans-serif" w:hAnsi="Times New Roman;sans-serif"/>
          <w:b/>
          <w:i/>
          <w:color w:val="000000"/>
          <w:sz w:val="22"/>
        </w:rPr>
        <w:t>arrant Price.</w:t>
      </w:r>
      <w:r>
        <w:rPr>
          <w:color w:val="000000"/>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2.2    Duration of Warrants. </w:t>
      </w:r>
      <w:r>
        <w:rPr>
          <w:rFonts w:ascii="Times New Roman;sans-serif" w:hAnsi="Times New Roman;sans-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ans-serif" w:hAnsi="Times New Roman;sans-serif"/>
          <w:b/>
          <w:i/>
          <w:color w:val="000000"/>
          <w:sz w:val="22"/>
        </w:rPr>
        <w:t>Expiration Date</w:t>
      </w:r>
      <w:r>
        <w:rPr>
          <w:color w:val="000000"/>
        </w:rPr>
        <w:t>”</w:t>
      </w:r>
      <w:r>
        <w:rPr>
          <w:rFonts w:ascii="Times New Roman;sans-serif" w:hAnsi="Times New Roman;sans-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20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9"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2.3    Exercise of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20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0"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3</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OTHER PROVISIONS RELATING TO RIGHTS OF HOLDERS OF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3.1    No Rights as Warrant Securityholder Conferred by Warrants or Warrant Certificates. </w:t>
      </w:r>
      <w:r>
        <w:rPr>
          <w:rFonts w:ascii="Times New Roman;sans-serif" w:hAnsi="Times New Roman;sans-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3.2    Lost, Stolen, Mutilated or Destroyed Warrant Certificates. </w:t>
      </w:r>
      <w:r>
        <w:rPr>
          <w:rFonts w:ascii="Times New Roman;sans-serif" w:hAnsi="Times New Roman;sans-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3.3    Holder of Warrant Certificate May Enforce Rights. </w:t>
      </w:r>
      <w:r>
        <w:rPr>
          <w:rFonts w:ascii="Times New Roman;sans-serif" w:hAnsi="Times New Roman;sans-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3.4    Adjustments.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 xml:space="preserve">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w:t>
      </w:r>
    </w:p>
    <w:p>
      <w:pPr>
        <w:pStyle w:val="TextBody"/>
        <w:bidi w:val="0"/>
        <w:spacing w:before="0" w:after="20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1"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If at any time or from time to time the holders of Common Stock (or any shares of stock or other securities at the time receivable upon the exercise of the Warrants) shall have received or become entitled to receive, without payment therefor,</w:t>
      </w:r>
    </w:p>
    <w:p>
      <w:pPr>
        <w:pStyle w:val="TextBody"/>
        <w:bidi w:val="0"/>
        <w:spacing w:lineRule="auto" w:line="288" w:before="0" w:after="240"/>
        <w:ind w:left="0" w:right="0" w:firstLine="2160"/>
        <w:jc w:val="both"/>
        <w:rPr/>
      </w:pPr>
      <w:r>
        <w:rPr>
          <w:rFonts w:ascii="Times New Roman;sans-serif" w:hAnsi="Times New Roman;sans-serif"/>
          <w:b/>
          <w:color w:val="000000"/>
          <w:sz w:val="22"/>
        </w:rPr>
        <w:t>(i)</w:t>
      </w:r>
      <w:r>
        <w:rPr>
          <w:color w:val="000000"/>
        </w:rPr>
        <w:t>    </w:t>
      </w:r>
      <w:r>
        <w:rPr>
          <w:rFonts w:ascii="Times New Roman;sans-serif" w:hAnsi="Times New Roman;sans-serif"/>
          <w:b w:val="false"/>
          <w:color w:val="000000"/>
          <w:sz w:val="22"/>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ans-serif" w:hAnsi="Times New Roman;sans-serif"/>
          <w:b/>
          <w:color w:val="000000"/>
          <w:sz w:val="22"/>
        </w:rPr>
        <w:t>(i)</w:t>
      </w:r>
      <w:r>
        <w:rPr>
          <w:color w:val="000000"/>
        </w:rPr>
        <w:t>    </w:t>
      </w:r>
      <w:r>
        <w:rPr>
          <w:rFonts w:ascii="Times New Roman;sans-serif" w:hAnsi="Times New Roman;sans-serif"/>
          <w:b w:val="false"/>
          <w:color w:val="000000"/>
          <w:sz w:val="22"/>
        </w:rPr>
        <w:t>any cash paid or payable otherwise than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ans-serif" w:hAnsi="Times New Roman;sans-serif"/>
          <w:b/>
          <w:color w:val="000000"/>
          <w:sz w:val="22"/>
        </w:rPr>
        <w:t>(ii)</w:t>
      </w:r>
      <w:r>
        <w:rPr>
          <w:color w:val="000000"/>
        </w:rPr>
        <w:t>    </w:t>
      </w:r>
      <w:r>
        <w:rPr>
          <w:rFonts w:ascii="Times New Roman;sans-serif" w:hAnsi="Times New Roman;sans-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ans-serif" w:hAnsi="Times New Roman;sans-serif"/>
          <w:b/>
          <w:color w:val="000000"/>
          <w:sz w:val="22"/>
        </w:rPr>
        <w:t>(iii)</w:t>
      </w:r>
      <w:r>
        <w:rPr>
          <w:color w:val="000000"/>
        </w:rPr>
        <w:t>    </w:t>
      </w:r>
      <w:r>
        <w:rPr>
          <w:rFonts w:ascii="Times New Roman;sans-serif" w:hAnsi="Times New Roman;sans-serif"/>
          <w:b w:val="false"/>
          <w:color w:val="000000"/>
          <w:sz w:val="22"/>
        </w:rPr>
        <w:t xml:space="preserve">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 </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sans-serif" w:hAnsi="Times New Roman;sans-serif"/>
          <w:b/>
          <w:i/>
          <w:color w:val="000000"/>
          <w:sz w:val="22"/>
        </w:rPr>
        <w:t>Reorganization Event</w:t>
      </w:r>
      <w:r>
        <w:rPr>
          <w:color w:val="000000"/>
        </w:rPr>
        <w:t>”</w:t>
      </w:r>
      <w:r>
        <w:rPr>
          <w:rFonts w:ascii="Times New Roman;sans-serif" w:hAnsi="Times New Roman;sans-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w:t>
      </w:r>
    </w:p>
    <w:p>
      <w:pPr>
        <w:pStyle w:val="TextBody"/>
        <w:bidi w:val="0"/>
        <w:spacing w:before="0" w:after="20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2"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pStyle w:val="TextBody"/>
        <w:bidi w:val="0"/>
        <w:spacing w:lineRule="auto" w:line="288" w:before="0" w:after="240"/>
        <w:ind w:left="0" w:right="0" w:firstLine="1440"/>
        <w:jc w:val="both"/>
        <w:rPr/>
      </w:pPr>
      <w:r>
        <w:rPr>
          <w:rFonts w:ascii="Times New Roman;sans-serif" w:hAnsi="Times New Roman;sans-serif"/>
          <w:b/>
          <w:color w:val="000000"/>
          <w:sz w:val="22"/>
        </w:rPr>
        <w:t>(e)    </w:t>
      </w:r>
      <w:r>
        <w:rPr>
          <w:rFonts w:ascii="Times New Roman;sans-serif" w:hAnsi="Times New Roman;sans-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sans-serif" w:hAnsi="Times New Roman;sans-serif"/>
          <w:b/>
          <w:i/>
          <w:color w:val="000000"/>
          <w:sz w:val="22"/>
        </w:rPr>
        <w:t>OTC Bulletin Board</w:t>
      </w:r>
      <w:r>
        <w:rPr>
          <w:color w:val="000000"/>
        </w:rPr>
        <w:t>”</w:t>
      </w:r>
      <w:r>
        <w:rPr>
          <w:rFonts w:ascii="Times New Roman;sans-serif" w:hAnsi="Times New Roman;sans-serif"/>
          <w:b w:val="false"/>
          <w:color w:val="000000"/>
          <w:sz w:val="22"/>
        </w:rPr>
        <w:t>) operated by the Financial Industry Regulatory Authority, Inc. (“</w:t>
      </w:r>
      <w:r>
        <w:rPr>
          <w:rFonts w:ascii="Times New Roman;sans-serif" w:hAnsi="Times New Roman;sans-serif"/>
          <w:b/>
          <w:i/>
          <w:color w:val="000000"/>
          <w:sz w:val="22"/>
        </w:rPr>
        <w:t>FINRA</w:t>
      </w:r>
      <w:r>
        <w:rPr>
          <w:color w:val="000000"/>
        </w:rPr>
        <w:t xml:space="preserve">” </w:t>
      </w:r>
      <w:r>
        <w:rPr>
          <w:rFonts w:ascii="Times New Roman;sans-serif" w:hAnsi="Times New Roman;sans-serif"/>
          <w:b w:val="false"/>
          <w:color w:val="000000"/>
          <w:sz w:val="22"/>
        </w:rPr>
        <w:t>)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lineRule="auto" w:line="288" w:before="0" w:after="240"/>
        <w:ind w:left="0" w:right="0" w:firstLine="1440"/>
        <w:jc w:val="both"/>
        <w:rPr/>
      </w:pPr>
      <w:r>
        <w:rPr>
          <w:rFonts w:ascii="Times New Roman;sans-serif" w:hAnsi="Times New Roman;sans-serif"/>
          <w:b/>
          <w:color w:val="000000"/>
          <w:sz w:val="22"/>
        </w:rPr>
        <w:t>(f)</w:t>
      </w:r>
      <w:r>
        <w:rPr>
          <w:color w:val="000000"/>
        </w:rPr>
        <w:t>    </w:t>
      </w:r>
      <w:r>
        <w:rPr>
          <w:rFonts w:ascii="Times New Roman;sans-serif" w:hAnsi="Times New Roman;sans-serif"/>
          <w:b w:val="false"/>
          <w:color w:val="000000"/>
          <w:sz w:val="22"/>
        </w:rPr>
        <w:t xml:space="preserve">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w:t>
      </w:r>
    </w:p>
    <w:p>
      <w:pPr>
        <w:pStyle w:val="TextBody"/>
        <w:bidi w:val="0"/>
        <w:spacing w:before="0" w:after="20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the provisions hereof, together with the facts, in reasonable detail, upon which such adjustment is based.</w:t>
      </w:r>
    </w:p>
    <w:p>
      <w:pPr>
        <w:pStyle w:val="TextBody"/>
        <w:bidi w:val="0"/>
        <w:spacing w:lineRule="auto" w:line="288" w:before="0" w:after="240"/>
        <w:ind w:left="0" w:right="0" w:firstLine="1440"/>
        <w:jc w:val="both"/>
        <w:rPr/>
      </w:pPr>
      <w:r>
        <w:rPr>
          <w:rFonts w:ascii="Times New Roman;sans-serif" w:hAnsi="Times New Roman;sans-serif"/>
          <w:b/>
          <w:color w:val="000000"/>
          <w:sz w:val="22"/>
        </w:rPr>
        <w:t>(g)</w:t>
      </w:r>
      <w:r>
        <w:rPr>
          <w:color w:val="000000"/>
        </w:rPr>
        <w:t>    </w:t>
      </w:r>
      <w:r>
        <w:rPr>
          <w:rFonts w:ascii="Times New Roman;sans-serif" w:hAnsi="Times New Roman;sans-serif"/>
          <w:b w:val="false"/>
          <w:color w:val="000000"/>
          <w:sz w:val="22"/>
        </w:rPr>
        <w:t>Notwithstanding anything to the contrary herein, in no event shall the Warrant Price, as adjusted in accordance with the terms hereof, be less than the par value per share of Common Stock.</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3.5    Notice to Warrantholders. </w:t>
      </w:r>
      <w:r>
        <w:rPr>
          <w:rFonts w:ascii="Times New Roman;sans-serif" w:hAnsi="Times New Roman;sans-serif"/>
          <w:b w:val="false"/>
          <w:color w:val="000000"/>
          <w:sz w:val="22"/>
        </w:rPr>
        <w:t>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ans-serif" w:hAnsi="Times New Roman;sans-serif"/>
          <w:b/>
          <w:color w:val="000000"/>
          <w:sz w:val="22"/>
        </w:rPr>
        <w:t>3.6</w:t>
      </w:r>
      <w:r>
        <w:rPr>
          <w:color w:val="000000"/>
        </w:rPr>
        <w:t>    </w:t>
      </w:r>
      <w:r>
        <w:rPr>
          <w:rFonts w:ascii="Times New Roman;sans-serif" w:hAnsi="Times New Roman;sans-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ans-serif" w:hAnsi="Times New Roman;sans-serif"/>
          <w:b/>
          <w:i/>
          <w:color w:val="000000"/>
          <w:sz w:val="22"/>
        </w:rPr>
        <w:t>Acceleration Date</w:t>
      </w:r>
      <w:r>
        <w:rPr>
          <w:color w:val="000000"/>
        </w:rPr>
        <w:t>”</w:t>
      </w:r>
      <w:r>
        <w:rPr>
          <w:rFonts w:ascii="Times New Roman;sans-serif" w:hAnsi="Times New Roman;sans-serif"/>
          <w:b w:val="false"/>
          <w:color w:val="000000"/>
          <w:sz w:val="22"/>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(b)    (b) </w:t>
      </w:r>
      <w:r>
        <w:rPr>
          <w:color w:val="000000"/>
        </w:rPr>
        <w:t>“</w:t>
      </w:r>
      <w:r>
        <w:rPr>
          <w:rFonts w:ascii="Times New Roman;sans-serif" w:hAnsi="Times New Roman;sans-serif"/>
          <w:b/>
          <w:i/>
          <w:color w:val="000000"/>
          <w:sz w:val="22"/>
        </w:rPr>
        <w:t>Market Price</w:t>
      </w:r>
      <w:r>
        <w:rPr>
          <w:color w:val="000000"/>
        </w:rPr>
        <w:t xml:space="preserve">” </w:t>
      </w:r>
      <w:r>
        <w:rPr>
          <w:rFonts w:ascii="Times New Roman;sans-serif" w:hAnsi="Times New Roman;sans-serif"/>
          <w:b w:val="false"/>
          <w:color w:val="000000"/>
          <w:sz w:val="22"/>
        </w:rPr>
        <w:t xml:space="preserve">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w:t>
      </w:r>
    </w:p>
    <w:p>
      <w:pPr>
        <w:pStyle w:val="TextBody"/>
        <w:bidi w:val="0"/>
        <w:spacing w:before="0" w:after="20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4</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4.1</w:t>
      </w:r>
      <w:r>
        <w:rPr>
          <w:color w:val="000000"/>
        </w:rPr>
        <w:t>    </w:t>
      </w:r>
      <w:r>
        <w:rPr>
          <w:rFonts w:ascii="Times New Roman;sans-serif" w:hAnsi="Times New Roman;sans-serif"/>
          <w:b w:val="false"/>
          <w:color w:val="000000"/>
          <w:sz w:val="22"/>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4.2    Treatment of Holders of Warrant Certificates.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20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4.3    Cancellation of Warrant Certificates. </w:t>
      </w:r>
      <w:r>
        <w:rPr>
          <w:rFonts w:ascii="Times New Roman;sans-serif" w:hAnsi="Times New Roman;sans-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5</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CONCERNING THE WARRANT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5.1    Warrant Agent. </w:t>
      </w:r>
      <w:r>
        <w:rPr>
          <w:rFonts w:ascii="Times New Roman;sans-serif" w:hAnsi="Times New Roman;sans-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5.2    Conditions of Warrant Agent’s Obligations. </w:t>
      </w:r>
      <w:r>
        <w:rPr>
          <w:rFonts w:ascii="Times New Roman;sans-serif" w:hAnsi="Times New Roman;sans-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(a)    Compensation and Indemnification. </w:t>
      </w:r>
      <w:r>
        <w:rPr>
          <w:rFonts w:ascii="Times New Roman;sans-serif" w:hAnsi="Times New Roman;sans-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(b)    Agent for the Company. </w:t>
      </w:r>
      <w:r>
        <w:rPr>
          <w:rFonts w:ascii="Times New Roman;sans-serif" w:hAnsi="Times New Roman;sans-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(c)    Counsel. </w:t>
      </w:r>
      <w:r>
        <w:rPr>
          <w:rFonts w:ascii="Times New Roman;sans-serif" w:hAnsi="Times New Roman;sans-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(d)    Documents. </w:t>
      </w:r>
      <w:r>
        <w:rPr>
          <w:rFonts w:ascii="Times New Roman;sans-serif" w:hAnsi="Times New Roman;sans-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20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(e)    Certain Transactions. </w:t>
      </w:r>
      <w:r>
        <w:rPr>
          <w:rFonts w:ascii="Times New Roman;sans-serif" w:hAnsi="Times New Roman;sans-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(f)    No Liability for Interest. </w:t>
      </w:r>
      <w:r>
        <w:rPr>
          <w:rFonts w:ascii="Times New Roman;sans-serif" w:hAnsi="Times New Roman;sans-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(g)    No Liability for Invalidity. </w:t>
      </w:r>
      <w:r>
        <w:rPr>
          <w:rFonts w:ascii="Times New Roman;sans-serif" w:hAnsi="Times New Roman;sans-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(h)    No Responsibility for Representations. </w:t>
      </w:r>
      <w:r>
        <w:rPr>
          <w:rFonts w:ascii="Times New Roman;sans-serif" w:hAnsi="Times New Roman;sans-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(i)    No Implied Obligations. </w:t>
      </w:r>
      <w:r>
        <w:rPr>
          <w:rFonts w:ascii="Times New Roman;sans-serif" w:hAnsi="Times New Roman;sans-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t>
      </w:r>
    </w:p>
    <w:p>
      <w:pPr>
        <w:pStyle w:val="TextBody"/>
        <w:bidi w:val="0"/>
        <w:spacing w:before="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6</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6.1    Amendment. </w:t>
      </w:r>
      <w:r>
        <w:rPr>
          <w:rFonts w:ascii="Times New Roman;sans-serif" w:hAnsi="Times New Roman;sans-serif"/>
          <w:b w:val="false"/>
          <w:color w:val="000000"/>
          <w:sz w:val="22"/>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w:t>
      </w:r>
    </w:p>
    <w:p>
      <w:pPr>
        <w:pStyle w:val="TextBody"/>
        <w:bidi w:val="0"/>
        <w:spacing w:before="0" w:after="20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6.2    Notices and Demands to the Company and Warrant Agent. </w:t>
      </w:r>
      <w:r>
        <w:rPr>
          <w:rFonts w:ascii="Times New Roman;sans-serif" w:hAnsi="Times New Roman;sans-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6.3    Addresses. </w:t>
      </w:r>
      <w:r>
        <w:rPr>
          <w:rFonts w:ascii="Times New Roman;sans-serif" w:hAnsi="Times New Roman;sans-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Life360, Inc., 1900 S. Norfolk Street, Suite 310, San Mateo, CA 94107, Attention: [●]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Governing Law. </w:t>
      </w:r>
      <w:r>
        <w:rPr>
          <w:rFonts w:ascii="Times New Roman;sans-serif" w:hAnsi="Times New Roman;sans-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6.4    Delivery of Prospectus. </w:t>
      </w:r>
      <w:r>
        <w:rPr>
          <w:rFonts w:ascii="Times New Roman;sans-serif" w:hAnsi="Times New Roman;sans-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ans-serif" w:hAnsi="Times New Roman;sans-serif"/>
          <w:b/>
          <w:i/>
          <w:color w:val="000000"/>
          <w:sz w:val="22"/>
        </w:rPr>
        <w:t>Prospectus</w:t>
      </w:r>
      <w:r>
        <w:rPr>
          <w:color w:val="000000"/>
        </w:rPr>
        <w:t>”</w:t>
      </w:r>
      <w:r>
        <w:rPr>
          <w:rFonts w:ascii="Times New Roman;sans-serif" w:hAnsi="Times New Roman;sans-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6.5    Obtaining of Governmental Approvals. </w:t>
      </w:r>
      <w:r>
        <w:rPr>
          <w:rFonts w:ascii="Times New Roman;sans-serif" w:hAnsi="Times New Roman;sans-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6.6    Persons Having Rights Under this Agreement. </w:t>
      </w:r>
      <w:r>
        <w:rPr>
          <w:rFonts w:ascii="Times New Roman;sans-serif" w:hAnsi="Times New Roman;sans-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6.7    Headings. </w:t>
      </w:r>
      <w:r>
        <w:rPr>
          <w:rFonts w:ascii="Times New Roman;sans-serif" w:hAnsi="Times New Roman;sans-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6.8    Counterparts. </w:t>
      </w:r>
      <w:r>
        <w:rPr>
          <w:rFonts w:ascii="Times New Roman;sans-serif" w:hAnsi="Times New Roman;sans-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6.9    Inspection of Agreement. </w:t>
      </w:r>
      <w:r>
        <w:rPr>
          <w:rFonts w:ascii="Times New Roman;sans-serif" w:hAnsi="Times New Roman;sans-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parties hereto have caused this Agreement to be duly executed as of the day and year first above written.</w:t>
      </w:r>
    </w:p>
    <w:tbl>
      <w:tblPr>
        <w:tblW w:w="3351"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319" w:before="0" w:after="200"/>
              <w:jc w:val="both"/>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color w:val="000000"/>
                <w:sz w:val="22"/>
              </w:rPr>
              <w:t>[●]</w:t>
            </w:r>
            <w:r>
              <w:rPr>
                <w:rFonts w:ascii="Times New Roman;sans-serif" w:hAnsi="Times New Roman;sans-serif"/>
                <w:b w:val="false"/>
                <w:color w:val="000000"/>
                <w:sz w:val="22"/>
              </w:rPr>
              <w:t>, as Warrant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Common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Common Stock Warrant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WARRANT CERTIFICATE</w:t>
      </w:r>
    </w:p>
    <w:p>
      <w:pPr>
        <w:pStyle w:val="TextBody"/>
        <w:bidi w:val="0"/>
        <w:spacing w:lineRule="auto" w:line="288" w:before="0" w:after="1400"/>
        <w:jc w:val="center"/>
        <w:rPr>
          <w:rFonts w:ascii="Times New Roman;sans-serif" w:hAnsi="Times New Roman;sans-serif"/>
          <w:b/>
          <w:color w:val="000000"/>
          <w:sz w:val="22"/>
        </w:rPr>
      </w:pPr>
      <w:r>
        <w:rPr>
          <w:rFonts w:ascii="Times New Roman;sans-serif" w:hAnsi="Times New Roman;sans-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2"/>
              </w:rPr>
              <w:t>[</w:t>
            </w:r>
            <w:r>
              <w:rPr>
                <w:rFonts w:ascii="Times New Roman;sans-serif" w:hAnsi="Times New Roman;sans-serif"/>
                <w:b/>
                <w:i/>
                <w:color w:val="000000"/>
                <w:sz w:val="22"/>
              </w:rPr>
              <w:t>Form of Legend if Warrants are not immediately exercisable.</w:t>
            </w: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EXERCISABLE ONLY IF COUNTERSIGNED BY THE WARRANT AGENT AS PROVIDED HEREIN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VOID AFTER [●] P.M., [City] time, ON [●].</w:t>
      </w:r>
    </w:p>
    <w:p>
      <w:pPr>
        <w:pStyle w:val="TextBody"/>
        <w:bidi w:val="0"/>
        <w:spacing w:before="0" w:after="20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 CERTIFICATE REPRESENTING</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WARRANTS TO PURCHASE</w:t>
      </w:r>
    </w:p>
    <w:p>
      <w:pPr>
        <w:pStyle w:val="TextBody"/>
        <w:bidi w:val="0"/>
        <w:spacing w:lineRule="auto" w:line="288" w:before="0" w:after="200"/>
        <w:jc w:val="center"/>
        <w:rPr/>
      </w:pPr>
      <w:r>
        <w:rPr>
          <w:rFonts w:ascii="Times New Roman;sans-serif" w:hAnsi="Times New Roman;sans-serif"/>
          <w:b/>
          <w:color w:val="000000"/>
          <w:sz w:val="22"/>
        </w:rPr>
        <w:t>COMMON STOCK, PAR VALUE $0.001</w:t>
      </w:r>
      <w:r>
        <w:rPr>
          <w:color w:val="000000"/>
        </w:rPr>
        <w:t xml:space="preserve"> </w:t>
      </w:r>
      <w:r>
        <w:rPr>
          <w:rFonts w:ascii="Times New Roman;sans-serif" w:hAnsi="Times New Roman;sans-serif"/>
          <w:b/>
          <w:color w:val="000000"/>
          <w:sz w:val="22"/>
        </w:rPr>
        <w:t>PER SHARE</w:t>
      </w:r>
    </w:p>
    <w:tbl>
      <w:tblPr>
        <w:tblW w:w="2146" w:type="dxa"/>
        <w:jc w:val="lef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 Warrants</w:t>
            </w:r>
          </w:p>
        </w:tc>
      </w:tr>
    </w:tbl>
    <w:p>
      <w:pPr>
        <w:pStyle w:val="TextBody"/>
        <w:bidi w:val="0"/>
        <w:spacing w:lineRule="auto" w:line="288" w:before="0" w:after="240"/>
        <w:jc w:val="both"/>
        <w:rPr/>
      </w:pPr>
      <w:r>
        <w:rPr>
          <w:rFonts w:ascii="Times New Roman;sans-serif" w:hAnsi="Times New Roman;sans-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Life360,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ans-serif" w:hAnsi="Times New Roman;sans-serif"/>
          <w:b/>
          <w:i/>
          <w:color w:val="000000"/>
          <w:sz w:val="22"/>
        </w:rPr>
        <w:t>Warrant Price</w:t>
      </w:r>
      <w:r>
        <w:rPr>
          <w:color w:val="000000"/>
        </w:rPr>
        <w:t>”</w:t>
      </w:r>
      <w:r>
        <w:rPr>
          <w:rFonts w:ascii="Times New Roman;sans-serif" w:hAnsi="Times New Roman;sans-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ans-serif" w:hAnsi="Times New Roman;sans-serif"/>
          <w:b w:val="false"/>
          <w:color w:val="000000"/>
          <w:sz w:val="22"/>
        </w:rPr>
        <w:t>This Warrant Certificate is issued under and in accordance with the Warrant Agreement dated as of [●]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20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Warrant to be executed in its name and on its behalf by the facsimile signatures of its duly authorized officers.</w:t>
      </w:r>
    </w:p>
    <w:tbl>
      <w:tblPr>
        <w:tblW w:w="3266" w:type="dxa"/>
        <w:jc w:val="left"/>
        <w:tblInd w:w="0" w:type="dxa"/>
        <w:tblLayout w:type="fixed"/>
        <w:tblCellMar>
          <w:top w:w="28" w:type="dxa"/>
          <w:left w:w="28" w:type="dxa"/>
          <w:bottom w:w="28" w:type="dxa"/>
          <w:right w:w="28" w:type="dxa"/>
        </w:tblCellMar>
      </w:tblPr>
      <w:tblGrid>
        <w:gridCol w:w="285"/>
        <w:gridCol w:w="251"/>
        <w:gridCol w:w="252"/>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09"/>
        <w:gridCol w:w="109"/>
        <w:gridCol w:w="154"/>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[REVERSE OF WARRANT CERTIFICATE]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(Instructions for Exercise of Warrant)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undersigned hereby irrevocably elects to exercise ______ Warrants, evidenced by this Warrant Certificate, to purchase _______ shares of the Common Stock,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Life360,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Life360,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Please Print</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(Insert Social Security or Other Identifying Number</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of Holder)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    ________________________</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may be exercised at the following addresses: By hand at: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mail at: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20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ASSIGNMENT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ans-serif" w:hAnsi="Times New Roman;sans-serif"/>
          <w:b/>
          <w:color w:val="000000"/>
          <w:sz w:val="22"/>
        </w:rPr>
        <w:t>For Value Received,</w:t>
      </w:r>
      <w:r>
        <w:rPr>
          <w:color w:val="000000"/>
        </w:rPr>
        <w:t xml:space="preserve"> </w:t>
      </w:r>
      <w:r>
        <w:rPr>
          <w:rFonts w:ascii="Times New Roman;sans-serif" w:hAnsi="Times New Roman;sans-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1579"/>
        <w:gridCol w:w="1374"/>
        <w:gridCol w:w="1374"/>
        <w:gridCol w:w="130"/>
        <w:gridCol w:w="130"/>
        <w:gridCol w:w="130"/>
        <w:gridCol w:w="109"/>
        <w:gridCol w:w="109"/>
        <w:gridCol w:w="109"/>
        <w:gridCol w:w="1536"/>
        <w:gridCol w:w="1501"/>
        <w:gridCol w:w="2124"/>
      </w:tblGrid>
      <w:tr>
        <w:trPr/>
        <w:tc>
          <w:tcPr>
            <w:tcW w:w="157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tc>
      </w:tr>
      <w:tr>
        <w:trPr/>
        <w:tc>
          <w:tcPr>
            <w:tcW w:w="471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name and address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Social Security or other identifying number</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right represented by the within Warrant to purchase _______________ shares of [Title of Warrant Securities] of Life360, Inc. to which the within Warrant relates and appoints ____________________ attorney to transfer such right on the books of the Warrant Agent with full power of substitution in the premises.</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the Warrant)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Times New Roman;sans-serif" w:hAnsi="Times New Roman;sans-serif"/>
          <w:b/>
          <w:color w:val="000000"/>
          <w:sz w:val="20"/>
        </w:rPr>
      </w:pPr>
      <w:r>
        <w:rPr>
          <w:rFonts w:ascii="Times New Roman;sans-serif" w:hAnsi="Times New Roman;sans-serif"/>
          <w:b/>
          <w:color w:val="000000"/>
          <w:sz w:val="20"/>
        </w:rPr>
        <w:t>Exhibit 4.6</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800"/>
        <w:jc w:val="center"/>
        <w:rPr/>
      </w:pPr>
      <w:r>
        <w:rPr/>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_____________, As Warrant Agent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Preferred Stock</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Agreement</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7"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Life360, Inc. Form of Preferred Stock Warrant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This Preferred Stock Warrant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dated as of [_______ __, ____], between </w:t>
      </w:r>
      <w:r>
        <w:rPr>
          <w:rFonts w:ascii="Times New Roman;sans-serif" w:hAnsi="Times New Roman;sans-serif"/>
          <w:b/>
          <w:color w:val="000000"/>
          <w:sz w:val="22"/>
        </w:rPr>
        <w:t>Life360,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 a [corporation] [national banking association] organized and existing under the laws of [●] and having a corporate trust office in [●],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proposes to sell [</w:t>
      </w:r>
      <w:r>
        <w:rPr>
          <w:rFonts w:ascii="Times New Roman;sans-serif" w:hAnsi="Times New Roman;sans-serif"/>
          <w:b/>
          <w:i/>
          <w:color w:val="000000"/>
          <w:sz w:val="22"/>
        </w:rPr>
        <w:t xml:space="preserve">If Warrants are sold with other securities — </w:t>
      </w:r>
      <w:r>
        <w:rPr>
          <w:rFonts w:ascii="Times New Roman;sans-serif" w:hAnsi="Times New Roman;sans-serif"/>
          <w:b w:val="false"/>
          <w:color w:val="000000"/>
          <w:sz w:val="22"/>
        </w:rPr>
        <w:t>[title of such other securities being offered] (the “</w:t>
      </w:r>
      <w:r>
        <w:rPr>
          <w:rFonts w:ascii="Times New Roman;sans-serif" w:hAnsi="Times New Roman;sans-serif"/>
          <w:b/>
          <w:i/>
          <w:color w:val="000000"/>
          <w:sz w:val="22"/>
        </w:rPr>
        <w:t>Other Securities</w:t>
      </w:r>
      <w:r>
        <w:rPr>
          <w:color w:val="000000"/>
        </w:rPr>
        <w:t>”</w:t>
      </w:r>
      <w:r>
        <w:rPr>
          <w:rFonts w:ascii="Times New Roman;sans-serif" w:hAnsi="Times New Roman;sans-serif"/>
          <w:b w:val="false"/>
          <w:color w:val="000000"/>
          <w:sz w:val="22"/>
        </w:rPr>
        <w:t>) with] warrant certificates evidencing one or more warrants (the “</w:t>
      </w:r>
      <w:r>
        <w:rPr>
          <w:rFonts w:ascii="Times New Roman;sans-serif" w:hAnsi="Times New Roman;sans-serif"/>
          <w:b/>
          <w:i/>
          <w:color w:val="000000"/>
          <w:sz w:val="22"/>
        </w:rPr>
        <w:t>Warrants</w:t>
      </w:r>
      <w:r>
        <w:rPr>
          <w:color w:val="000000"/>
        </w:rPr>
        <w:t xml:space="preserve">” </w:t>
      </w:r>
      <w:r>
        <w:rPr>
          <w:rFonts w:ascii="Times New Roman;sans-serif" w:hAnsi="Times New Roman;sans-serif"/>
          <w:b w:val="false"/>
          <w:color w:val="000000"/>
          <w:sz w:val="22"/>
        </w:rPr>
        <w:t>or, individually, a “</w:t>
      </w:r>
      <w:r>
        <w:rPr>
          <w:rFonts w:ascii="Times New Roman;sans-serif" w:hAnsi="Times New Roman;sans-serif"/>
          <w:b/>
          <w:i/>
          <w:color w:val="000000"/>
          <w:sz w:val="22"/>
        </w:rPr>
        <w:t>Warrant</w:t>
      </w:r>
      <w:r>
        <w:rPr>
          <w:color w:val="000000"/>
        </w:rPr>
        <w:t>”</w:t>
      </w:r>
      <w:r>
        <w:rPr>
          <w:rFonts w:ascii="Times New Roman;sans-serif" w:hAnsi="Times New Roman;sans-serif"/>
          <w:b w:val="false"/>
          <w:color w:val="000000"/>
          <w:sz w:val="22"/>
        </w:rPr>
        <w:t>) representing the right to purchase [title of Preferred Stock purchasable through exercise of Warrants] of the Company,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such warrant certificates and other warrant certificates issued pursuant to this Agreement being herein called the “</w:t>
      </w:r>
      <w:r>
        <w:rPr>
          <w:rFonts w:ascii="Times New Roman;sans-serif" w:hAnsi="Times New Roman;sans-serif"/>
          <w:b/>
          <w:i/>
          <w:color w:val="000000"/>
          <w:sz w:val="22"/>
        </w:rPr>
        <w:t>Warrant Certificates</w:t>
      </w:r>
      <w:r>
        <w:rPr>
          <w:color w:val="000000"/>
        </w:rPr>
        <w:t>”</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ISSUANCE OF WARRANTS AND EXECUTION 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DELIVERY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Issuance of Warrants. </w:t>
      </w:r>
      <w:r>
        <w:rPr>
          <w:rFonts w:ascii="Times New Roman;sans-serif" w:hAnsi="Times New Roman;sans-serif"/>
          <w:b w:val="false"/>
          <w:color w:val="000000"/>
          <w:sz w:val="22"/>
        </w:rPr>
        <w:t>[</w:t>
      </w:r>
      <w:r>
        <w:rPr>
          <w:rFonts w:ascii="Times New Roman;sans-serif" w:hAnsi="Times New Roman;sans-serif"/>
          <w:b/>
          <w:i/>
          <w:color w:val="000000"/>
          <w:sz w:val="22"/>
        </w:rPr>
        <w:t>If Warrants alone</w:t>
      </w:r>
      <w:r>
        <w:rPr>
          <w:color w:val="000000"/>
        </w:rPr>
        <w:t xml:space="preserve"> —</w:t>
      </w:r>
      <w:r>
        <w:rPr>
          <w:rFonts w:ascii="Times New Roman;sans-serif" w:hAnsi="Times New Roman;sans-serif"/>
          <w:b w:val="false"/>
          <w:color w:val="000000"/>
          <w:sz w:val="22"/>
        </w:rPr>
        <w:t>Upon issuance, each Warrant Certificate shall evidence one or more Warrants.]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ans-serif" w:hAnsi="Times New Roman;sans-serif"/>
          <w:b/>
          <w:i/>
          <w:color w:val="000000"/>
          <w:sz w:val="22"/>
        </w:rPr>
        <w:t>If Other Securities and Warrants</w:t>
      </w:r>
      <w:r>
        <w:rPr>
          <w:color w:val="000000"/>
        </w:rPr>
        <w:t xml:space="preserve"> —</w:t>
      </w:r>
      <w:r>
        <w:rPr>
          <w:rFonts w:ascii="Times New Roman;sans-serif" w:hAnsi="Times New Roman;sans-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1.2    Execution and Delivery of Warrant Certificates. </w:t>
      </w:r>
      <w:r>
        <w:rPr>
          <w:rFonts w:ascii="Times New Roman;sans-serif" w:hAnsi="Times New Roman;sans-serif"/>
          <w:b w:val="false"/>
          <w:color w:val="000000"/>
          <w:sz w:val="22"/>
        </w:rPr>
        <w:t xml:space="preserve">Each Warrant Certificate, whenever issued, shall be in registered form substantially in the form set forth in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w:t>
      </w:r>
    </w:p>
    <w:p>
      <w:pPr>
        <w:pStyle w:val="TextBody"/>
        <w:bidi w:val="0"/>
        <w:spacing w:before="0" w:after="20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holder of a Warrant Certificate</w:t>
      </w:r>
      <w:r>
        <w:rPr>
          <w:color w:val="000000"/>
        </w:rPr>
        <w:t xml:space="preserve">” </w:t>
      </w:r>
      <w:r>
        <w:rPr>
          <w:rFonts w:ascii="Times New Roman;sans-serif" w:hAnsi="Times New Roman;sans-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1.3    Issuance of Warrant Certificates. </w:t>
      </w:r>
      <w:r>
        <w:rPr>
          <w:rFonts w:ascii="Times New Roman;sans-serif" w:hAnsi="Times New Roman;sans-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2</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2.1    Warrant Price. </w:t>
      </w:r>
      <w:r>
        <w:rPr>
          <w:rFonts w:ascii="Times New Roman;sans-serif" w:hAnsi="Times New Roman;sans-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ans-serif" w:hAnsi="Times New Roman;sans-serif"/>
          <w:b/>
          <w:i/>
          <w:color w:val="000000"/>
          <w:sz w:val="22"/>
        </w:rPr>
        <w:t>Warrant Price.</w:t>
      </w:r>
      <w:r>
        <w:rPr>
          <w:color w:val="000000"/>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2.2    Duration of Warrants. </w:t>
      </w:r>
      <w:r>
        <w:rPr>
          <w:rFonts w:ascii="Times New Roman;sans-serif" w:hAnsi="Times New Roman;sans-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ans-serif" w:hAnsi="Times New Roman;sans-serif"/>
          <w:b/>
          <w:i/>
          <w:color w:val="000000"/>
          <w:sz w:val="22"/>
        </w:rPr>
        <w:t>Expiration Date</w:t>
      </w:r>
      <w:r>
        <w:rPr>
          <w:color w:val="000000"/>
        </w:rPr>
        <w:t>”</w:t>
      </w:r>
      <w:r>
        <w:rPr>
          <w:rFonts w:ascii="Times New Roman;sans-serif" w:hAnsi="Times New Roman;sans-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20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2.3    Exercise of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ans-serif" w:hAnsi="Times New Roman;sans-serif"/>
          <w:b/>
          <w:color w:val="000000"/>
          <w:sz w:val="22"/>
        </w:rPr>
        <w:t>(c)</w:t>
      </w:r>
      <w:r>
        <w:rPr>
          <w:color w:val="000000"/>
        </w:rPr>
        <w:t>    </w:t>
      </w:r>
      <w:r>
        <w:rPr>
          <w:rFonts w:ascii="Times New Roman;sans-serif" w:hAnsi="Times New Roman;sans-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ans-serif" w:hAnsi="Times New Roman;sans-serif"/>
          <w:b/>
          <w:color w:val="000000"/>
          <w:sz w:val="22"/>
        </w:rPr>
        <w:t>(d)</w:t>
      </w:r>
      <w:r>
        <w:rPr>
          <w:color w:val="000000"/>
        </w:rPr>
        <w:t>    </w:t>
      </w:r>
      <w:r>
        <w:rPr>
          <w:rFonts w:ascii="Times New Roman;sans-serif" w:hAnsi="Times New Roman;sans-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20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2"/>
        </w:rPr>
        <w:t>(e)</w:t>
      </w:r>
      <w:r>
        <w:rPr>
          <w:color w:val="000000"/>
        </w:rPr>
        <w:t>    </w:t>
      </w:r>
      <w:r>
        <w:rPr>
          <w:rFonts w:ascii="Times New Roman;sans-serif" w:hAnsi="Times New Roman;sans-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3</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OTHER PROVISIONS RELATING TO RIGHTS OF HOLDERS OF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3.1    No Rights as Warrant Securityholder Conferred by Warrants or Warrant Certificates. </w:t>
      </w:r>
      <w:r>
        <w:rPr>
          <w:rFonts w:ascii="Times New Roman;sans-serif" w:hAnsi="Times New Roman;sans-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3.2    Lost, Stolen, Mutilated or Destroyed Warrant Certificates. </w:t>
      </w:r>
      <w:r>
        <w:rPr>
          <w:rFonts w:ascii="Times New Roman;sans-serif" w:hAnsi="Times New Roman;sans-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3.3    Holder of Warrant Certificate May Enforce Rights. </w:t>
      </w:r>
      <w:r>
        <w:rPr>
          <w:rFonts w:ascii="Times New Roman;sans-serif" w:hAnsi="Times New Roman;sans-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3.4    Adjustments.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 xml:space="preserve">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w:t>
      </w:r>
    </w:p>
    <w:p>
      <w:pPr>
        <w:pStyle w:val="TextBody"/>
        <w:bidi w:val="0"/>
        <w:spacing w:before="0" w:after="20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ans-serif" w:hAnsi="Times New Roman;sans-serif"/>
          <w:b/>
          <w:color w:val="000000"/>
          <w:sz w:val="22"/>
        </w:rPr>
        <w:t>(b)    </w:t>
      </w:r>
      <w:r>
        <w:rPr>
          <w:rFonts w:ascii="Times New Roman;sans-serif" w:hAnsi="Times New Roman;sans-serif"/>
          <w:b w:val="false"/>
          <w:color w:val="000000"/>
          <w:sz w:val="22"/>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pStyle w:val="TextBody"/>
        <w:bidi w:val="0"/>
        <w:spacing w:lineRule="auto" w:line="288" w:before="0" w:after="240"/>
        <w:ind w:left="0" w:right="0" w:firstLine="2160"/>
        <w:jc w:val="both"/>
        <w:rPr/>
      </w:pPr>
      <w:r>
        <w:rPr>
          <w:rFonts w:ascii="Times New Roman;sans-serif" w:hAnsi="Times New Roman;sans-serif"/>
          <w:b/>
          <w:color w:val="000000"/>
          <w:sz w:val="22"/>
        </w:rPr>
        <w:t>(i)    </w:t>
      </w:r>
      <w:r>
        <w:rPr>
          <w:rFonts w:ascii="Times New Roman;sans-serif" w:hAnsi="Times New Roman;sans-serif"/>
          <w:b w:val="false"/>
          <w:color w:val="000000"/>
          <w:sz w:val="22"/>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ans-serif" w:hAnsi="Times New Roman;sans-serif"/>
          <w:b/>
          <w:color w:val="000000"/>
          <w:sz w:val="22"/>
        </w:rPr>
        <w:t>(i)    </w:t>
      </w:r>
      <w:r>
        <w:rPr>
          <w:rFonts w:ascii="Times New Roman;sans-serif" w:hAnsi="Times New Roman;sans-serif"/>
          <w:b w:val="false"/>
          <w:color w:val="000000"/>
          <w:sz w:val="22"/>
        </w:rPr>
        <w:t>any cash paid or payable otherwise than in accordance with the terms of [title of Preferred Stock purchasable through exercise of Warrants] or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ans-serif" w:hAnsi="Times New Roman;sans-serif"/>
          <w:b/>
          <w:color w:val="000000"/>
          <w:sz w:val="22"/>
        </w:rPr>
        <w:t>(ii)    </w:t>
      </w:r>
      <w:r>
        <w:rPr>
          <w:rFonts w:ascii="Times New Roman;sans-serif" w:hAnsi="Times New Roman;sans-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ans-serif" w:hAnsi="Times New Roman;sans-serif"/>
          <w:b/>
          <w:color w:val="000000"/>
          <w:sz w:val="22"/>
        </w:rPr>
        <w:t>(iii)    </w:t>
      </w:r>
      <w:r>
        <w:rPr>
          <w:rFonts w:ascii="Times New Roman;sans-serif" w:hAnsi="Times New Roman;sans-serif"/>
          <w:b w:val="false"/>
          <w:color w:val="000000"/>
          <w:sz w:val="22"/>
        </w:rPr>
        <w:t xml:space="preserve">[title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lineRule="auto" w:line="288" w:before="0" w:after="240"/>
        <w:ind w:left="0" w:right="0" w:firstLine="1440"/>
        <w:jc w:val="both"/>
        <w:rPr/>
      </w:pPr>
      <w:r>
        <w:rPr>
          <w:rFonts w:ascii="Times New Roman;sans-serif" w:hAnsi="Times New Roman;sans-serif"/>
          <w:b/>
          <w:color w:val="000000"/>
          <w:sz w:val="22"/>
        </w:rPr>
        <w:t>(a)    </w:t>
      </w:r>
      <w:r>
        <w:rPr>
          <w:rFonts w:ascii="Times New Roman;sans-serif" w:hAnsi="Times New Roman;sans-serif"/>
          <w:b w:val="false"/>
          <w:color w:val="000000"/>
          <w:sz w:val="22"/>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sans-serif" w:hAnsi="Times New Roman;sans-serif"/>
          <w:b/>
          <w:i/>
          <w:color w:val="000000"/>
          <w:sz w:val="22"/>
        </w:rPr>
        <w:t>Reorganization Event</w:t>
      </w:r>
      <w:r>
        <w:rPr>
          <w:color w:val="000000"/>
        </w:rPr>
        <w:t>”</w:t>
      </w:r>
      <w:r>
        <w:rPr>
          <w:rFonts w:ascii="Times New Roman;sans-serif" w:hAnsi="Times New Roman;sans-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w:t>
      </w:r>
    </w:p>
    <w:p>
      <w:pPr>
        <w:pStyle w:val="TextBody"/>
        <w:bidi w:val="0"/>
        <w:spacing w:before="0" w:after="20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ans-serif" w:hAnsi="Times New Roman;sans-serif"/>
          <w:b/>
          <w:color w:val="000000"/>
          <w:sz w:val="22"/>
        </w:rPr>
        <w:t>(c)    </w:t>
      </w:r>
      <w:r>
        <w:rPr>
          <w:rFonts w:ascii="Times New Roman;sans-serif" w:hAnsi="Times New Roman;sans-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ans-serif" w:hAnsi="Times New Roman;sans-serif"/>
          <w:b/>
          <w:color w:val="000000"/>
          <w:sz w:val="22"/>
        </w:rPr>
        <w:t>(d)    </w:t>
      </w:r>
      <w:r>
        <w:rPr>
          <w:rFonts w:ascii="Times New Roman;sans-serif" w:hAnsi="Times New Roman;sans-serif"/>
          <w:b w:val="false"/>
          <w:color w:val="000000"/>
          <w:sz w:val="22"/>
        </w:rPr>
        <w:t xml:space="preserve">Except as herein otherwise expressly provided, no adjustment in the Warrant Price shall be made by reason of the issuance of </w:t>
      </w:r>
      <w:r>
        <w:rPr>
          <w:rFonts w:ascii="Times New Roman;sans-serif" w:hAnsi="Times New Roman;sans-serif"/>
          <w:b w:val="false"/>
          <w:color w:val="000000"/>
          <w:sz w:val="22"/>
          <w:shd w:fill="FFFFFF" w:val="clear"/>
        </w:rPr>
        <w:t>any securities of the Company or for any other reason whatsoever.</w:t>
      </w:r>
    </w:p>
    <w:p>
      <w:pPr>
        <w:pStyle w:val="TextBody"/>
        <w:bidi w:val="0"/>
        <w:spacing w:lineRule="auto" w:line="288" w:before="0" w:after="240"/>
        <w:ind w:left="0" w:right="0" w:firstLine="1440"/>
        <w:jc w:val="both"/>
        <w:rPr/>
      </w:pPr>
      <w:r>
        <w:rPr>
          <w:rFonts w:ascii="Times New Roman;sans-serif" w:hAnsi="Times New Roman;sans-serif"/>
          <w:b/>
          <w:color w:val="000000"/>
          <w:sz w:val="22"/>
        </w:rPr>
        <w:t>(e)    </w:t>
      </w:r>
      <w:r>
        <w:rPr>
          <w:rFonts w:ascii="Times New Roman;sans-serif" w:hAnsi="Times New Roman;sans-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sans-serif" w:hAnsi="Times New Roman;sans-serif"/>
          <w:b/>
          <w:i/>
          <w:color w:val="000000"/>
          <w:sz w:val="22"/>
        </w:rPr>
        <w:t>OTC Bulletin Board</w:t>
      </w:r>
      <w:r>
        <w:rPr>
          <w:color w:val="000000"/>
        </w:rPr>
        <w:t>”</w:t>
      </w:r>
      <w:r>
        <w:rPr>
          <w:rFonts w:ascii="Times New Roman;sans-serif" w:hAnsi="Times New Roman;sans-serif"/>
          <w:b w:val="false"/>
          <w:color w:val="000000"/>
          <w:sz w:val="22"/>
        </w:rPr>
        <w:t>) operated by the Financial Industry Regulatory Authority, Inc. (“</w:t>
      </w:r>
      <w:r>
        <w:rPr>
          <w:rFonts w:ascii="Times New Roman;sans-serif" w:hAnsi="Times New Roman;sans-serif"/>
          <w:b/>
          <w:i/>
          <w:color w:val="000000"/>
          <w:sz w:val="22"/>
        </w:rPr>
        <w:t>FINRA</w:t>
      </w:r>
      <w:r>
        <w:rPr>
          <w:color w:val="000000"/>
        </w:rPr>
        <w:t xml:space="preserve">” </w:t>
      </w:r>
      <w:r>
        <w:rPr>
          <w:rFonts w:ascii="Times New Roman;sans-serif" w:hAnsi="Times New Roman;sans-serif"/>
          <w:b w:val="false"/>
          <w:color w:val="000000"/>
          <w:sz w:val="22"/>
        </w:rPr>
        <w:t xml:space="preserve">)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w:t>
      </w:r>
    </w:p>
    <w:p>
      <w:pPr>
        <w:pStyle w:val="TextBody"/>
        <w:bidi w:val="0"/>
        <w:spacing w:before="0" w:after="20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prices as furnished by any FINRA member firm selected from time to time by the Company for that purpose at the close of business on the business day that next precedes the day of exercise.</w:t>
      </w:r>
    </w:p>
    <w:p>
      <w:pPr>
        <w:pStyle w:val="TextBody"/>
        <w:bidi w:val="0"/>
        <w:spacing w:lineRule="auto" w:line="288" w:before="0" w:after="240"/>
        <w:ind w:left="0" w:right="0" w:firstLine="1440"/>
        <w:jc w:val="both"/>
        <w:rPr/>
      </w:pPr>
      <w:r>
        <w:rPr>
          <w:rFonts w:ascii="Times New Roman;sans-serif" w:hAnsi="Times New Roman;sans-serif"/>
          <w:b/>
          <w:color w:val="000000"/>
          <w:sz w:val="22"/>
        </w:rPr>
        <w:t>(f)    </w:t>
      </w:r>
      <w:r>
        <w:rPr>
          <w:rFonts w:ascii="Times New Roman;sans-serif" w:hAnsi="Times New Roman;sans-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lineRule="auto" w:line="288" w:before="0" w:after="240"/>
        <w:ind w:left="0" w:right="0" w:firstLine="1440"/>
        <w:jc w:val="both"/>
        <w:rPr/>
      </w:pPr>
      <w:r>
        <w:rPr>
          <w:rFonts w:ascii="Times New Roman;sans-serif" w:hAnsi="Times New Roman;sans-serif"/>
          <w:b/>
          <w:color w:val="000000"/>
          <w:sz w:val="22"/>
        </w:rPr>
        <w:t>(g)    </w:t>
      </w:r>
      <w:r>
        <w:rPr>
          <w:rFonts w:ascii="Times New Roman;sans-serif" w:hAnsi="Times New Roman;sans-serif"/>
          <w:b w:val="false"/>
          <w:color w:val="000000"/>
          <w:sz w:val="22"/>
        </w:rPr>
        <w:t xml:space="preserve">Notwithstanding anything to the contrary herein, in no event shall the Warrant Price, as adjusted in accordance with the terms hereof, be less than the par value per share of </w:t>
      </w:r>
      <w:r>
        <w:rPr>
          <w:rFonts w:ascii="Times New Roman;sans-serif" w:hAnsi="Times New Roman;sans-serif"/>
          <w:b w:val="false"/>
          <w:color w:val="000000"/>
          <w:sz w:val="20"/>
        </w:rPr>
        <w:t>[title of Preferred Stock purchasable through exercise of Warrants]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3.5    Notice to Warrantholders. </w:t>
      </w:r>
      <w:r>
        <w:rPr>
          <w:rFonts w:ascii="Times New Roman;sans-serif" w:hAnsi="Times New Roman;sans-serif"/>
          <w:b w:val="false"/>
          <w:color w:val="000000"/>
          <w:sz w:val="22"/>
        </w:rPr>
        <w:t xml:space="preserve">In case the Company shall (a) effect any dividend or distribution described in Section 3.4(b), (b) effect any Reorganization Event, (c) make any distribution on or in respect of the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 xml:space="preserve">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 xml:space="preserve">that will be entitled to such dividend or distribution are to be determined, (y) the date on which such Reorganization Event, dissolution, liquidation or winding up is expected to become effective, and the date as of which it is expected that holders of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 xml:space="preserve">of record shall be entitled to exchange their shares of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ans-serif" w:hAnsi="Times New Roman;sans-serif"/>
          <w:b/>
          <w:color w:val="000000"/>
          <w:sz w:val="22"/>
        </w:rPr>
        <w:t>3.6</w:t>
      </w:r>
      <w:r>
        <w:rPr>
          <w:color w:val="000000"/>
        </w:rPr>
        <w:t>    </w:t>
      </w:r>
      <w:r>
        <w:rPr>
          <w:rFonts w:ascii="Times New Roman;sans-serif" w:hAnsi="Times New Roman;sans-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ans-serif" w:hAnsi="Times New Roman;sans-serif"/>
          <w:b/>
          <w:color w:val="000000"/>
          <w:sz w:val="22"/>
        </w:rPr>
        <w:t>(a)    </w:t>
      </w:r>
      <w:r>
        <w:rPr>
          <w:rFonts w:ascii="Times New Roman;sans-serif" w:hAnsi="Times New Roman;sans-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ans-serif" w:hAnsi="Times New Roman;sans-serif"/>
          <w:b/>
          <w:i/>
          <w:color w:val="000000"/>
          <w:sz w:val="22"/>
        </w:rPr>
        <w:t>Acceleration Date</w:t>
      </w:r>
      <w:r>
        <w:rPr>
          <w:color w:val="000000"/>
        </w:rPr>
        <w:t>”</w:t>
      </w:r>
      <w:r>
        <w:rPr>
          <w:rFonts w:ascii="Times New Roman;sans-serif" w:hAnsi="Times New Roman;sans-serif"/>
          <w:b w:val="false"/>
          <w:color w:val="000000"/>
          <w:sz w:val="22"/>
        </w:rPr>
        <w:t xml:space="preserve">), if the Market Price (as hereinafter defined) of the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(b)    (b) </w:t>
      </w:r>
      <w:r>
        <w:rPr>
          <w:color w:val="000000"/>
        </w:rPr>
        <w:t>“</w:t>
      </w:r>
      <w:r>
        <w:rPr>
          <w:rFonts w:ascii="Times New Roman;sans-serif" w:hAnsi="Times New Roman;sans-serif"/>
          <w:b/>
          <w:i/>
          <w:color w:val="000000"/>
          <w:sz w:val="22"/>
        </w:rPr>
        <w:t>Market Price</w:t>
      </w:r>
      <w:r>
        <w:rPr>
          <w:color w:val="000000"/>
        </w:rPr>
        <w:t xml:space="preserve">” </w:t>
      </w:r>
      <w:r>
        <w:rPr>
          <w:rFonts w:ascii="Times New Roman;sans-serif" w:hAnsi="Times New Roman;sans-serif"/>
          <w:b w:val="false"/>
          <w:color w:val="000000"/>
          <w:sz w:val="22"/>
        </w:rPr>
        <w:t xml:space="preserve">for each Trading Day shall be, if the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 xml:space="preserve">is listed or admitted to trading on any registered national securities exchange, the last reported sale price, regular way (or, if no such price is reported, the average of the reported closing bid and asked prices, regular way) of </w:t>
      </w:r>
      <w:r>
        <w:rPr>
          <w:rFonts w:ascii="Times New Roman;sans-serif" w:hAnsi="Times New Roman;sans-serif"/>
          <w:b w:val="false"/>
          <w:color w:val="000000"/>
          <w:sz w:val="20"/>
        </w:rPr>
        <w:t>[title of Preferred Stock purchasable through exercise of Warrants]</w:t>
      </w:r>
      <w:r>
        <w:rPr>
          <w:rFonts w:ascii="Times New Roman;sans-serif" w:hAnsi="Times New Roman;sans-serif"/>
          <w:b w:val="false"/>
          <w:color w:val="000000"/>
          <w:sz w:val="22"/>
        </w:rPr>
        <w:t xml:space="preserve">, in either case as reported on the principal registered national securities exchange on which the </w:t>
      </w:r>
      <w:r>
        <w:rPr>
          <w:rFonts w:ascii="Times New Roman;sans-serif" w:hAnsi="Times New Roman;sans-serif"/>
          <w:b w:val="false"/>
          <w:color w:val="000000"/>
          <w:sz w:val="20"/>
        </w:rPr>
        <w:t xml:space="preserve">[title of Preferred Stock purchasable through exercise of Warrants] </w:t>
      </w:r>
      <w:r>
        <w:rPr>
          <w:rFonts w:ascii="Times New Roman;sans-serif" w:hAnsi="Times New Roman;sans-serif"/>
          <w:b w:val="false"/>
          <w:color w:val="000000"/>
          <w:sz w:val="22"/>
        </w:rPr>
        <w:t xml:space="preserve">is listed or admitted to trading or, if not listed or admitted to trading on any registered national securities exchange, the average of the closing </w:t>
      </w:r>
    </w:p>
    <w:p>
      <w:pPr>
        <w:pStyle w:val="TextBody"/>
        <w:bidi w:val="0"/>
        <w:spacing w:before="0" w:after="20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w:t>
      </w:r>
      <w:r>
        <w:rPr>
          <w:rFonts w:ascii="Times New Roman;sans-serif" w:hAnsi="Times New Roman;sans-serif"/>
          <w:b w:val="false"/>
          <w:color w:val="000000"/>
          <w:sz w:val="20"/>
        </w:rPr>
        <w:t>[title of Preferred Stock purchasable through exercise of Warrants]</w:t>
      </w:r>
      <w:r>
        <w:rPr>
          <w:color w:val="000000"/>
        </w:rPr>
        <w:t xml:space="preserve"> </w:t>
      </w:r>
      <w:r>
        <w:rPr>
          <w:rFonts w:ascii="Times New Roman;sans-serif" w:hAnsi="Times New Roman;sans-serif"/>
          <w:b w:val="false"/>
          <w:color w:val="000000"/>
          <w:sz w:val="22"/>
        </w:rPr>
        <w:t xml:space="preserve">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w:t>
      </w:r>
      <w:r>
        <w:rPr>
          <w:rFonts w:ascii="Times New Roman;sans-serif" w:hAnsi="Times New Roman;sans-serif"/>
          <w:b w:val="false"/>
          <w:color w:val="000000"/>
          <w:sz w:val="20"/>
        </w:rPr>
        <w:t>[title of Preferred Stock purchasable through exercise of Warrants]</w:t>
      </w:r>
      <w:r>
        <w:rPr>
          <w:rFonts w:ascii="Times New Roman;sans-serif" w:hAnsi="Times New Roman;sans-serif"/>
          <w:b w:val="false"/>
          <w:color w:val="000000"/>
          <w:sz w:val="22"/>
        </w:rPr>
        <w:t>,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ans-serif" w:hAnsi="Times New Roman;sans-serif"/>
          <w:b/>
          <w:color w:val="000000"/>
          <w:sz w:val="22"/>
        </w:rPr>
        <w:t>(c)    </w:t>
      </w:r>
      <w:r>
        <w:rPr>
          <w:rFonts w:ascii="Times New Roman;sans-serif" w:hAnsi="Times New Roman;sans-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ans-serif" w:hAnsi="Times New Roman;sans-serif"/>
          <w:b/>
          <w:color w:val="000000"/>
          <w:sz w:val="22"/>
        </w:rPr>
        <w:t>(d)    </w:t>
      </w:r>
      <w:r>
        <w:rPr>
          <w:rFonts w:ascii="Times New Roman;sans-serif" w:hAnsi="Times New Roman;sans-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4</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4.1    </w:t>
      </w:r>
      <w:r>
        <w:rPr>
          <w:rFonts w:ascii="Times New Roman;sans-serif" w:hAnsi="Times New Roman;sans-serif"/>
          <w:b w:val="false"/>
          <w:color w:val="000000"/>
          <w:sz w:val="22"/>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w:t>
      </w:r>
    </w:p>
    <w:p>
      <w:pPr>
        <w:pStyle w:val="TextBody"/>
        <w:bidi w:val="0"/>
        <w:spacing w:before="0" w:after="20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5"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4.2    Treatment of Holders of Warrant Certificates.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4.3    Cancellation of Warrant Certificates. </w:t>
      </w:r>
      <w:r>
        <w:rPr>
          <w:rFonts w:ascii="Times New Roman;sans-serif" w:hAnsi="Times New Roman;sans-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5</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CONCERNING THE WARRANT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5.1    Warrant Agent. </w:t>
      </w:r>
      <w:r>
        <w:rPr>
          <w:rFonts w:ascii="Times New Roman;sans-serif" w:hAnsi="Times New Roman;sans-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5.2    Conditions of Warrant Agent’s Obligations. </w:t>
      </w:r>
      <w:r>
        <w:rPr>
          <w:rFonts w:ascii="Times New Roman;sans-serif" w:hAnsi="Times New Roman;sans-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(a)    Compensation and Indemnification. </w:t>
      </w:r>
      <w:r>
        <w:rPr>
          <w:rFonts w:ascii="Times New Roman;sans-serif" w:hAnsi="Times New Roman;sans-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(b)    Agent for the Company. </w:t>
      </w:r>
      <w:r>
        <w:rPr>
          <w:rFonts w:ascii="Times New Roman;sans-serif" w:hAnsi="Times New Roman;sans-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20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6"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(c)    Counsel. </w:t>
      </w:r>
      <w:r>
        <w:rPr>
          <w:rFonts w:ascii="Times New Roman;sans-serif" w:hAnsi="Times New Roman;sans-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(d)    Documents. </w:t>
      </w:r>
      <w:r>
        <w:rPr>
          <w:rFonts w:ascii="Times New Roman;sans-serif" w:hAnsi="Times New Roman;sans-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(e)    Certain Transactions. </w:t>
      </w:r>
      <w:r>
        <w:rPr>
          <w:rFonts w:ascii="Times New Roman;sans-serif" w:hAnsi="Times New Roman;sans-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(f)    No Liability for Interest. </w:t>
      </w:r>
      <w:r>
        <w:rPr>
          <w:rFonts w:ascii="Times New Roman;sans-serif" w:hAnsi="Times New Roman;sans-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(g)    No Liability for Invalidity. </w:t>
      </w:r>
      <w:r>
        <w:rPr>
          <w:rFonts w:ascii="Times New Roman;sans-serif" w:hAnsi="Times New Roman;sans-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(h)    No Responsibility for Representations. </w:t>
      </w:r>
      <w:r>
        <w:rPr>
          <w:rFonts w:ascii="Times New Roman;sans-serif" w:hAnsi="Times New Roman;sans-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(i)    No Implied Obligations. </w:t>
      </w:r>
      <w:r>
        <w:rPr>
          <w:rFonts w:ascii="Times New Roman;sans-serif" w:hAnsi="Times New Roman;sans-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ans-serif" w:hAnsi="Times New Roman;sans-serif"/>
          <w:b/>
          <w:color w:val="000000"/>
          <w:sz w:val="22"/>
        </w:rPr>
        <w:t>(b)    </w:t>
      </w:r>
      <w:r>
        <w:rPr>
          <w:rFonts w:ascii="Times New Roman;sans-serif" w:hAnsi="Times New Roman;sans-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ans-serif" w:hAnsi="Times New Roman;sans-serif"/>
          <w:b/>
          <w:color w:val="000000"/>
          <w:sz w:val="22"/>
        </w:rPr>
        <w:t>(d)    </w:t>
      </w:r>
      <w:r>
        <w:rPr>
          <w:rFonts w:ascii="Times New Roman;sans-serif" w:hAnsi="Times New Roman;sans-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ans-serif" w:hAnsi="Times New Roman;sans-serif"/>
          <w:b/>
          <w:color w:val="000000"/>
          <w:sz w:val="22"/>
        </w:rPr>
        <w:t>(e)    </w:t>
      </w:r>
      <w:r>
        <w:rPr>
          <w:rFonts w:ascii="Times New Roman;sans-serif" w:hAnsi="Times New Roman;sans-serif"/>
          <w:b w:val="false"/>
          <w:color w:val="000000"/>
          <w:sz w:val="22"/>
        </w:rPr>
        <w:t xml:space="preserve">Any corporation into which the Warrant Agent hereunder may be merged or converted or any corporation with which the Warrant Agent may be consolidated, or any corporation resulting from any merger, conversion or consolidation to which the Warrant Agent shall be a party, or </w:t>
      </w:r>
    </w:p>
    <w:p>
      <w:pPr>
        <w:pStyle w:val="TextBody"/>
        <w:bidi w:val="0"/>
        <w:spacing w:before="0" w:after="20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8"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6</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6.1    Amendment. </w:t>
      </w:r>
      <w:r>
        <w:rPr>
          <w:rFonts w:ascii="Times New Roman;sans-serif" w:hAnsi="Times New Roman;sans-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6.2    Notices and Demands to the Company and Warrant Agent. </w:t>
      </w:r>
      <w:r>
        <w:rPr>
          <w:rFonts w:ascii="Times New Roman;sans-serif" w:hAnsi="Times New Roman;sans-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6.3    Addresses. </w:t>
      </w:r>
      <w:r>
        <w:rPr>
          <w:rFonts w:ascii="Times New Roman;sans-serif" w:hAnsi="Times New Roman;sans-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Life360, Inc., 1900 S. Norfolk Street, Suite 310, San Mateo, CA 94107, Attention: [●]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Governing Law. </w:t>
      </w:r>
      <w:r>
        <w:rPr>
          <w:rFonts w:ascii="Times New Roman;sans-serif" w:hAnsi="Times New Roman;sans-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6.4    Delivery of Prospectus. </w:t>
      </w:r>
      <w:r>
        <w:rPr>
          <w:rFonts w:ascii="Times New Roman;sans-serif" w:hAnsi="Times New Roman;sans-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ans-serif" w:hAnsi="Times New Roman;sans-serif"/>
          <w:b/>
          <w:i/>
          <w:color w:val="000000"/>
          <w:sz w:val="22"/>
        </w:rPr>
        <w:t>Prospectus</w:t>
      </w:r>
      <w:r>
        <w:rPr>
          <w:color w:val="000000"/>
        </w:rPr>
        <w:t>”</w:t>
      </w:r>
      <w:r>
        <w:rPr>
          <w:rFonts w:ascii="Times New Roman;sans-serif" w:hAnsi="Times New Roman;sans-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6.5    Obtaining of Governmental Approvals. </w:t>
      </w:r>
      <w:r>
        <w:rPr>
          <w:rFonts w:ascii="Times New Roman;sans-serif" w:hAnsi="Times New Roman;sans-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6.6    Persons Having Rights Under this Agreement. </w:t>
      </w:r>
      <w:r>
        <w:rPr>
          <w:rFonts w:ascii="Times New Roman;sans-serif" w:hAnsi="Times New Roman;sans-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20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9"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6.7    Headings. </w:t>
      </w:r>
      <w:r>
        <w:rPr>
          <w:rFonts w:ascii="Times New Roman;sans-serif" w:hAnsi="Times New Roman;sans-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6.8    Counterparts. </w:t>
      </w:r>
      <w:r>
        <w:rPr>
          <w:rFonts w:ascii="Times New Roman;sans-serif" w:hAnsi="Times New Roman;sans-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6.9    Inspection of Agreement. </w:t>
      </w:r>
      <w:r>
        <w:rPr>
          <w:rFonts w:ascii="Times New Roman;sans-serif" w:hAnsi="Times New Roman;sans-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0"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parties hereto have caused this Agreement to be duly executed as of the day and year first above written.</w:t>
      </w:r>
    </w:p>
    <w:tbl>
      <w:tblPr>
        <w:tblW w:w="3351"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319" w:before="0" w:after="200"/>
              <w:jc w:val="both"/>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color w:val="000000"/>
                <w:sz w:val="22"/>
              </w:rPr>
              <w:t>[●]</w:t>
            </w:r>
            <w:r>
              <w:rPr>
                <w:rFonts w:ascii="Times New Roman;sans-serif" w:hAnsi="Times New Roman;sans-serif"/>
                <w:b w:val="false"/>
                <w:color w:val="000000"/>
                <w:sz w:val="22"/>
              </w:rPr>
              <w:t>, as Warrant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1"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Preferred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Preferred Stock Warrant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WARRANT CERTIFICATE</w:t>
      </w:r>
    </w:p>
    <w:p>
      <w:pPr>
        <w:pStyle w:val="TextBody"/>
        <w:bidi w:val="0"/>
        <w:spacing w:lineRule="auto" w:line="288" w:before="0" w:after="1400"/>
        <w:jc w:val="center"/>
        <w:rPr>
          <w:rFonts w:ascii="Times New Roman;sans-serif" w:hAnsi="Times New Roman;sans-serif"/>
          <w:b/>
          <w:color w:val="000000"/>
          <w:sz w:val="22"/>
        </w:rPr>
      </w:pPr>
      <w:r>
        <w:rPr>
          <w:rFonts w:ascii="Times New Roman;sans-serif" w:hAnsi="Times New Roman;sans-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2"/>
              </w:rPr>
              <w:t>[</w:t>
            </w:r>
            <w:r>
              <w:rPr>
                <w:rFonts w:ascii="Times New Roman;sans-serif" w:hAnsi="Times New Roman;sans-serif"/>
                <w:b/>
                <w:i/>
                <w:color w:val="000000"/>
                <w:sz w:val="22"/>
              </w:rPr>
              <w:t>Form of Legend if Warrants are not immediately exercisable.</w:t>
            </w: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EXERCISABLE ONLY IF COUNTERSIGNED BY THE WARRANT AGENT AS PROVIDED HEREIN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VOID AFTER [●] P.M., [City] time, ON [●].</w:t>
      </w:r>
    </w:p>
    <w:p>
      <w:pPr>
        <w:pStyle w:val="TextBody"/>
        <w:bidi w:val="0"/>
        <w:spacing w:before="0" w:after="20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2"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 CERTIFICATE REPRESENTING</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WARRANTS TO PURCHASE</w:t>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[TITLE OF WARRANT SECURITIES]</w:t>
      </w:r>
    </w:p>
    <w:tbl>
      <w:tblPr>
        <w:tblW w:w="2146" w:type="dxa"/>
        <w:jc w:val="lef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 Warrants</w:t>
            </w:r>
          </w:p>
        </w:tc>
      </w:tr>
    </w:tbl>
    <w:p>
      <w:pPr>
        <w:pStyle w:val="TextBody"/>
        <w:bidi w:val="0"/>
        <w:spacing w:lineRule="auto" w:line="288" w:before="0" w:after="240"/>
        <w:jc w:val="both"/>
        <w:rPr/>
      </w:pPr>
      <w:r>
        <w:rPr>
          <w:rFonts w:ascii="Times New Roman;sans-serif" w:hAnsi="Times New Roman;sans-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Life360,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ans-serif" w:hAnsi="Times New Roman;sans-serif"/>
          <w:b/>
          <w:i/>
          <w:color w:val="000000"/>
          <w:sz w:val="22"/>
        </w:rPr>
        <w:t>Warrant Price</w:t>
      </w:r>
      <w:r>
        <w:rPr>
          <w:color w:val="000000"/>
        </w:rPr>
        <w:t>”</w:t>
      </w:r>
      <w:r>
        <w:rPr>
          <w:rFonts w:ascii="Times New Roman;sans-serif" w:hAnsi="Times New Roman;sans-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ans-serif" w:hAnsi="Times New Roman;sans-serif"/>
          <w:b w:val="false"/>
          <w:color w:val="000000"/>
          <w:sz w:val="22"/>
        </w:rPr>
        <w:t>This Warrant Certificate is issued under and in accordance with the Warrant Agreement dated as of [●]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20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3"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Warrant to be executed in its name and on its behalf by the facsimile signatures of its duly authorized officers.</w:t>
      </w:r>
    </w:p>
    <w:tbl>
      <w:tblPr>
        <w:tblW w:w="3266" w:type="dxa"/>
        <w:jc w:val="left"/>
        <w:tblInd w:w="0" w:type="dxa"/>
        <w:tblLayout w:type="fixed"/>
        <w:tblCellMar>
          <w:top w:w="28" w:type="dxa"/>
          <w:left w:w="28" w:type="dxa"/>
          <w:bottom w:w="28" w:type="dxa"/>
          <w:right w:w="28" w:type="dxa"/>
        </w:tblCellMar>
      </w:tblPr>
      <w:tblGrid>
        <w:gridCol w:w="285"/>
        <w:gridCol w:w="251"/>
        <w:gridCol w:w="252"/>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09"/>
        <w:gridCol w:w="109"/>
        <w:gridCol w:w="154"/>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4"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[REVERSE OF WARRANT CERTIFICATE]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(Instructions for Exercise of Warrant)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undersigned hereby irrevocably elects to exercise ______ Warrants, evidenced by this Warrant Certificate, to purchase _______ shares of the [TITLE OF WARRANT SECURITIES], par value $0.001 per share (the “</w:t>
      </w:r>
      <w:r>
        <w:rPr>
          <w:rFonts w:ascii="Times New Roman;sans-serif" w:hAnsi="Times New Roman;sans-serif"/>
          <w:b/>
          <w:i/>
          <w:color w:val="000000"/>
          <w:sz w:val="22"/>
        </w:rPr>
        <w:t>Warrant Securities</w:t>
      </w:r>
      <w:r>
        <w:rPr>
          <w:color w:val="000000"/>
        </w:rPr>
        <w:t>”</w:t>
      </w:r>
      <w:r>
        <w:rPr>
          <w:rFonts w:ascii="Times New Roman;sans-serif" w:hAnsi="Times New Roman;sans-serif"/>
          <w:b w:val="false"/>
          <w:color w:val="000000"/>
          <w:sz w:val="22"/>
        </w:rPr>
        <w:t>), of Life360,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Life360,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Please Print</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(Insert Social Security or Other Identifying Number</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of Holder)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    _______________________</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may be exercised at the following addresses: By hand at: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5"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mail at: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20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6"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ASSIGNMENT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ans-serif" w:hAnsi="Times New Roman;sans-serif"/>
          <w:b/>
          <w:color w:val="000000"/>
          <w:sz w:val="22"/>
        </w:rPr>
        <w:t>For Value Received,</w:t>
      </w:r>
      <w:r>
        <w:rPr>
          <w:color w:val="000000"/>
        </w:rPr>
        <w:t xml:space="preserve"> </w:t>
      </w:r>
      <w:r>
        <w:rPr>
          <w:rFonts w:ascii="Times New Roman;sans-serif" w:hAnsi="Times New Roman;sans-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1579"/>
        <w:gridCol w:w="1374"/>
        <w:gridCol w:w="1374"/>
        <w:gridCol w:w="130"/>
        <w:gridCol w:w="130"/>
        <w:gridCol w:w="130"/>
        <w:gridCol w:w="109"/>
        <w:gridCol w:w="109"/>
        <w:gridCol w:w="109"/>
        <w:gridCol w:w="1536"/>
        <w:gridCol w:w="1501"/>
        <w:gridCol w:w="2124"/>
      </w:tblGrid>
      <w:tr>
        <w:trPr/>
        <w:tc>
          <w:tcPr>
            <w:tcW w:w="157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tc>
      </w:tr>
      <w:tr>
        <w:trPr/>
        <w:tc>
          <w:tcPr>
            <w:tcW w:w="471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name and address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Social Security or other identifying number</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right represented by the within Warrant to purchase __________ shares of [Title of Warrant Securities] of Life360, Inc. to which the within Warrant relates and appoints ____________________ attorney to transfer such right on the books of the Warrant Agent with full power of substitution in the premises.</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the Warrant)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4.7</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7"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0"/>
        <w:jc w:val="center"/>
        <w:rPr/>
      </w:pPr>
      <w:r>
        <w:rPr/>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_____________, As Warrant Agent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Form of Debt Securities </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Warrant Agreement</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8"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Life360, Inc. Form of Debt Securities Warrant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This Debt Securities Warrant Agreement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dated as of [______ __, ____], between </w:t>
      </w:r>
      <w:r>
        <w:rPr>
          <w:rFonts w:ascii="Times New Roman;sans-serif" w:hAnsi="Times New Roman;sans-serif"/>
          <w:b/>
          <w:color w:val="000000"/>
          <w:sz w:val="22"/>
        </w:rPr>
        <w:t>Life360,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and [●], a [corporation] [national banking association] organized and existing under the laws of [●] and having a corporate trust office in [●],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w:t>
      </w:r>
    </w:p>
    <w:p>
      <w:pPr>
        <w:pStyle w:val="TextBody"/>
        <w:bidi w:val="0"/>
        <w:spacing w:lineRule="auto" w:line="288" w:before="0" w:after="20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has entered into an indenture dated as of [●] (the “</w:t>
      </w:r>
      <w:r>
        <w:rPr>
          <w:rFonts w:ascii="Times New Roman;sans-serif" w:hAnsi="Times New Roman;sans-serif"/>
          <w:b/>
          <w:i/>
          <w:color w:val="000000"/>
          <w:sz w:val="22"/>
        </w:rPr>
        <w:t>Indenture</w:t>
      </w:r>
      <w:r>
        <w:rPr>
          <w:color w:val="000000"/>
        </w:rPr>
        <w:t>”</w:t>
      </w:r>
      <w:r>
        <w:rPr>
          <w:rFonts w:ascii="Times New Roman;sans-serif" w:hAnsi="Times New Roman;sans-serif"/>
          <w:b w:val="false"/>
          <w:color w:val="000000"/>
          <w:sz w:val="22"/>
        </w:rPr>
        <w:t>), with [●], as trustee (such trustee, and any successors to such trustee, herein called the “</w:t>
      </w:r>
      <w:r>
        <w:rPr>
          <w:rFonts w:ascii="Times New Roman;sans-serif" w:hAnsi="Times New Roman;sans-serif"/>
          <w:b/>
          <w:i/>
          <w:color w:val="000000"/>
          <w:sz w:val="22"/>
        </w:rPr>
        <w:t>Trustee</w:t>
      </w:r>
      <w:r>
        <w:rPr>
          <w:color w:val="000000"/>
        </w:rPr>
        <w:t>”</w:t>
      </w:r>
      <w:r>
        <w:rPr>
          <w:rFonts w:ascii="Times New Roman;sans-serif" w:hAnsi="Times New Roman;sans-serif"/>
          <w:b w:val="false"/>
          <w:color w:val="000000"/>
          <w:sz w:val="22"/>
        </w:rPr>
        <w:t>), providing for the issuance from time to time of its debt securities, to be issued in one or more series as provided in the Indenture (the “</w:t>
      </w:r>
      <w:r>
        <w:rPr>
          <w:rFonts w:ascii="Times New Roman;sans-serif" w:hAnsi="Times New Roman;sans-serif"/>
          <w:b/>
          <w:i/>
          <w:color w:val="000000"/>
          <w:sz w:val="22"/>
        </w:rPr>
        <w:t>Debt Securities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the Company proposes to sell [</w:t>
      </w:r>
      <w:r>
        <w:rPr>
          <w:rFonts w:ascii="Times New Roman;sans-serif" w:hAnsi="Times New Roman;sans-serif"/>
          <w:b/>
          <w:i/>
          <w:color w:val="000000"/>
          <w:sz w:val="22"/>
        </w:rPr>
        <w:t xml:space="preserve">If Warrants are sold with other securities </w:t>
      </w:r>
      <w:r>
        <w:rPr>
          <w:color w:val="000000"/>
        </w:rPr>
        <w:t>—</w:t>
      </w:r>
      <w:r>
        <w:rPr>
          <w:rFonts w:ascii="Times New Roman;sans-serif" w:hAnsi="Times New Roman;sans-serif"/>
          <w:b w:val="false"/>
          <w:color w:val="000000"/>
          <w:sz w:val="22"/>
        </w:rPr>
        <w:t>[title of such other securities being offered] (the “</w:t>
      </w:r>
      <w:r>
        <w:rPr>
          <w:rFonts w:ascii="Times New Roman;sans-serif" w:hAnsi="Times New Roman;sans-serif"/>
          <w:b/>
          <w:i/>
          <w:color w:val="000000"/>
          <w:sz w:val="22"/>
        </w:rPr>
        <w:t>Other Securities</w:t>
      </w:r>
      <w:r>
        <w:rPr>
          <w:color w:val="000000"/>
        </w:rPr>
        <w:t>”</w:t>
      </w:r>
      <w:r>
        <w:rPr>
          <w:rFonts w:ascii="Times New Roman;sans-serif" w:hAnsi="Times New Roman;sans-serif"/>
          <w:b w:val="false"/>
          <w:color w:val="000000"/>
          <w:sz w:val="22"/>
        </w:rPr>
        <w:t>) with] warrant certificates evidencing one or more warrants (the “</w:t>
      </w:r>
      <w:r>
        <w:rPr>
          <w:rFonts w:ascii="Times New Roman;sans-serif" w:hAnsi="Times New Roman;sans-serif"/>
          <w:b/>
          <w:i/>
          <w:color w:val="000000"/>
          <w:sz w:val="22"/>
        </w:rPr>
        <w:t>Warrants</w:t>
      </w:r>
      <w:r>
        <w:rPr>
          <w:color w:val="000000"/>
        </w:rPr>
        <w:t xml:space="preserve">” </w:t>
      </w:r>
      <w:r>
        <w:rPr>
          <w:rFonts w:ascii="Times New Roman;sans-serif" w:hAnsi="Times New Roman;sans-serif"/>
          <w:b w:val="false"/>
          <w:color w:val="000000"/>
          <w:sz w:val="22"/>
        </w:rPr>
        <w:t>or, individually, a “</w:t>
      </w:r>
      <w:r>
        <w:rPr>
          <w:rFonts w:ascii="Times New Roman;sans-serif" w:hAnsi="Times New Roman;sans-serif"/>
          <w:b/>
          <w:i/>
          <w:color w:val="000000"/>
          <w:sz w:val="22"/>
        </w:rPr>
        <w:t>Warrant</w:t>
      </w:r>
      <w:r>
        <w:rPr>
          <w:color w:val="000000"/>
        </w:rPr>
        <w:t>”</w:t>
      </w:r>
      <w:r>
        <w:rPr>
          <w:rFonts w:ascii="Times New Roman;sans-serif" w:hAnsi="Times New Roman;sans-serif"/>
          <w:b w:val="false"/>
          <w:color w:val="000000"/>
          <w:sz w:val="22"/>
        </w:rPr>
        <w:t>) representing the right to purchase [title of Debt Securities purchasable through exercise of Warrants] (the “</w:t>
      </w:r>
      <w:r>
        <w:rPr>
          <w:rFonts w:ascii="Times New Roman;sans-serif" w:hAnsi="Times New Roman;sans-serif"/>
          <w:b/>
          <w:i/>
          <w:color w:val="000000"/>
          <w:sz w:val="22"/>
        </w:rPr>
        <w:t>Warrant Debt Securities</w:t>
      </w:r>
      <w:r>
        <w:rPr>
          <w:color w:val="000000"/>
        </w:rPr>
        <w:t>”</w:t>
      </w:r>
      <w:r>
        <w:rPr>
          <w:rFonts w:ascii="Times New Roman;sans-serif" w:hAnsi="Times New Roman;sans-serif"/>
          <w:b w:val="false"/>
          <w:color w:val="000000"/>
          <w:sz w:val="22"/>
        </w:rPr>
        <w:t>), such warrant certificates and other warrant certificates issued pursuant to this Agreement being herein called the “</w:t>
      </w:r>
      <w:r>
        <w:rPr>
          <w:rFonts w:ascii="Times New Roman;sans-serif" w:hAnsi="Times New Roman;sans-serif"/>
          <w:b/>
          <w:i/>
          <w:color w:val="000000"/>
          <w:sz w:val="22"/>
        </w:rPr>
        <w:t>Warrant Certificates</w:t>
      </w:r>
      <w:r>
        <w:rPr>
          <w:color w:val="000000"/>
        </w:rPr>
        <w:t>”</w:t>
      </w:r>
      <w:r>
        <w:rPr>
          <w:rFonts w:ascii="Times New Roman;sans-serif" w:hAnsi="Times New Roman;sans-serif"/>
          <w:b w:val="false"/>
          <w:color w:val="000000"/>
          <w:sz w:val="22"/>
        </w:rPr>
        <w:t xml:space="preserve">; and </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Whereas, </w:t>
      </w:r>
      <w:r>
        <w:rPr>
          <w:rFonts w:ascii="Times New Roman;sans-serif" w:hAnsi="Times New Roman;sans-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premises and of the mutual agreements herein contained, the parties hereto agree as follows:</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1</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ISSUANCE OF WARRANTS AND EXECUTION AND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DELIVERY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Issuance of Warrants. </w:t>
      </w:r>
      <w:r>
        <w:rPr>
          <w:rFonts w:ascii="Times New Roman;sans-serif" w:hAnsi="Times New Roman;sans-serif"/>
          <w:b w:val="false"/>
          <w:color w:val="000000"/>
          <w:sz w:val="22"/>
        </w:rPr>
        <w:t>[</w:t>
      </w:r>
      <w:r>
        <w:rPr>
          <w:rFonts w:ascii="Times New Roman;sans-serif" w:hAnsi="Times New Roman;sans-serif"/>
          <w:b/>
          <w:i/>
          <w:color w:val="000000"/>
          <w:sz w:val="22"/>
        </w:rPr>
        <w:t>If Warrants alone</w:t>
      </w:r>
      <w:r>
        <w:rPr>
          <w:color w:val="000000"/>
        </w:rPr>
        <w:t xml:space="preserve"> — </w:t>
      </w:r>
      <w:r>
        <w:rPr>
          <w:rFonts w:ascii="Times New Roman;sans-serif" w:hAnsi="Times New Roman;sans-serif"/>
          <w:b w:val="false"/>
          <w:color w:val="000000"/>
          <w:sz w:val="22"/>
        </w:rPr>
        <w:t>Upon issuance, each Warrant Certificate shall evidence one or more Warrants.] [</w:t>
      </w:r>
      <w:r>
        <w:rPr>
          <w:rFonts w:ascii="Times New Roman;sans-serif" w:hAnsi="Times New Roman;sans-serif"/>
          <w:b/>
          <w:i/>
          <w:color w:val="000000"/>
          <w:sz w:val="22"/>
        </w:rPr>
        <w:t>If Other Securities and Warrants</w:t>
      </w:r>
      <w:r>
        <w:rPr>
          <w:color w:val="000000"/>
        </w:rPr>
        <w:t xml:space="preserve"> — </w:t>
      </w:r>
      <w:r>
        <w:rPr>
          <w:rFonts w:ascii="Times New Roman;sans-serif" w:hAnsi="Times New Roman;sans-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sans-serif" w:hAnsi="Times New Roman;sans-serif"/>
          <w:b/>
          <w:i/>
          <w:color w:val="000000"/>
          <w:sz w:val="22"/>
        </w:rPr>
        <w:t>If Other Securities and Warrants</w:t>
      </w:r>
      <w:r>
        <w:rPr>
          <w:color w:val="000000"/>
        </w:rPr>
        <w:t xml:space="preserve"> — </w:t>
      </w:r>
      <w:r>
        <w:rPr>
          <w:rFonts w:ascii="Times New Roman;sans-serif" w:hAnsi="Times New Roman;sans-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1.2    Execution and Delivery of Warrant Certificates. </w:t>
      </w:r>
      <w:r>
        <w:rPr>
          <w:rFonts w:ascii="Times New Roman;sans-serif" w:hAnsi="Times New Roman;sans-serif"/>
          <w:b w:val="false"/>
          <w:color w:val="000000"/>
          <w:sz w:val="22"/>
        </w:rPr>
        <w:t xml:space="preserve">Each Warrant Certificate, whenever issued, shall be in registered form substantially in the form set forth in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w:t>
      </w:r>
    </w:p>
    <w:p>
      <w:pPr>
        <w:pStyle w:val="TextBody"/>
        <w:bidi w:val="0"/>
        <w:spacing w:before="0" w:after="20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69"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holder of a Warrant Certificate</w:t>
      </w:r>
      <w:r>
        <w:rPr>
          <w:color w:val="000000"/>
        </w:rPr>
        <w:t xml:space="preserve">” </w:t>
      </w:r>
      <w:r>
        <w:rPr>
          <w:rFonts w:ascii="Times New Roman;sans-serif" w:hAnsi="Times New Roman;sans-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1.3    Issuance of Warrant Certificates. </w:t>
      </w:r>
      <w:r>
        <w:rPr>
          <w:rFonts w:ascii="Times New Roman;sans-serif" w:hAnsi="Times New Roman;sans-serif"/>
          <w:b w:val="false"/>
          <w:color w:val="000000"/>
          <w:sz w:val="22"/>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2</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2.1    Warrant Price. </w:t>
      </w:r>
      <w:r>
        <w:rPr>
          <w:rFonts w:ascii="Times New Roman;sans-serif" w:hAnsi="Times New Roman;sans-serif"/>
          <w:b w:val="false"/>
          <w:color w:val="000000"/>
          <w:sz w:val="22"/>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sans-serif" w:hAnsi="Times New Roman;sans-serif"/>
          <w:b/>
          <w:i/>
          <w:color w:val="000000"/>
          <w:sz w:val="22"/>
        </w:rPr>
        <w:t>Warrant Price.</w:t>
      </w:r>
      <w:r>
        <w:rPr>
          <w:color w:val="000000"/>
        </w:rPr>
        <w:t xml:space="preserve"> </w:t>
      </w:r>
    </w:p>
    <w:p>
      <w:pPr>
        <w:pStyle w:val="TextBody"/>
        <w:bidi w:val="0"/>
        <w:spacing w:before="0" w:after="20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0"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2.2    Duration of Warrants. </w:t>
      </w:r>
      <w:r>
        <w:rPr>
          <w:rFonts w:ascii="Times New Roman;sans-serif" w:hAnsi="Times New Roman;sans-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ans-serif" w:hAnsi="Times New Roman;sans-serif"/>
          <w:b/>
          <w:i/>
          <w:color w:val="000000"/>
          <w:sz w:val="22"/>
        </w:rPr>
        <w:t>Expiration Date</w:t>
      </w:r>
      <w:r>
        <w:rPr>
          <w:color w:val="000000"/>
        </w:rPr>
        <w:t>”</w:t>
      </w:r>
      <w:r>
        <w:rPr>
          <w:rFonts w:ascii="Times New Roman;sans-serif" w:hAnsi="Times New Roman;sans-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2.3    Exercise of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(a)    </w:t>
      </w:r>
      <w:r>
        <w:rPr>
          <w:rFonts w:ascii="Times New Roman;sans-serif" w:hAnsi="Times New Roman;sans-serif"/>
          <w:b w:val="false"/>
          <w:color w:val="000000"/>
          <w:sz w:val="22"/>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ans-serif" w:hAnsi="Times New Roman;sans-serif"/>
          <w:b/>
          <w:color w:val="000000"/>
          <w:sz w:val="22"/>
        </w:rPr>
        <w:t>(b)    </w:t>
      </w:r>
      <w:r>
        <w:rPr>
          <w:rFonts w:ascii="Times New Roman;sans-serif" w:hAnsi="Times New Roman;sans-serif"/>
          <w:b w:val="false"/>
          <w:color w:val="000000"/>
          <w:sz w:val="22"/>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lineRule="auto" w:line="288" w:before="0" w:after="240"/>
        <w:ind w:left="0" w:right="0" w:firstLine="14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w:t>
      </w:r>
    </w:p>
    <w:p>
      <w:pPr>
        <w:pStyle w:val="TextBody"/>
        <w:bidi w:val="0"/>
        <w:spacing w:before="0" w:after="20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1"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lineRule="auto" w:line="288" w:before="0" w:after="240"/>
        <w:ind w:left="0" w:right="0" w:firstLine="1440"/>
        <w:jc w:val="both"/>
        <w:rPr/>
      </w:pPr>
      <w:r>
        <w:rPr>
          <w:rFonts w:ascii="Times New Roman;sans-serif" w:hAnsi="Times New Roman;sans-serif"/>
          <w:b/>
          <w:color w:val="000000"/>
          <w:sz w:val="22"/>
        </w:rPr>
        <w:t>(d)    </w:t>
      </w:r>
      <w:r>
        <w:rPr>
          <w:rFonts w:ascii="Times New Roman;sans-serif" w:hAnsi="Times New Roman;sans-serif"/>
          <w:b w:val="false"/>
          <w:color w:val="000000"/>
          <w:sz w:val="22"/>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lineRule="auto" w:line="288" w:before="0" w:after="240"/>
        <w:ind w:left="0" w:right="0" w:firstLine="1440"/>
        <w:jc w:val="both"/>
        <w:rPr/>
      </w:pPr>
      <w:r>
        <w:rPr>
          <w:rFonts w:ascii="Times New Roman;sans-serif" w:hAnsi="Times New Roman;sans-serif"/>
          <w:b/>
          <w:color w:val="000000"/>
          <w:sz w:val="22"/>
        </w:rPr>
        <w:t>(e)    </w:t>
      </w:r>
      <w:r>
        <w:rPr>
          <w:rFonts w:ascii="Times New Roman;sans-serif" w:hAnsi="Times New Roman;sans-serif"/>
          <w:b w:val="false"/>
          <w:color w:val="000000"/>
          <w:sz w:val="22"/>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3</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OTHER PROVISIONS RELATING TO RIGHTS OF HOLDERS OF</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3.1    No Rights as Holder of Warrant Debt Securities Conferred by Warrants or Warrant Certificates. </w:t>
      </w:r>
      <w:r>
        <w:rPr>
          <w:rFonts w:ascii="Times New Roman;sans-serif" w:hAnsi="Times New Roman;sans-serif"/>
          <w:b w:val="false"/>
          <w:color w:val="000000"/>
          <w:sz w:val="22"/>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3.2    Lost, Stolen, Mutilated or Destroyed Warrant Certificates. </w:t>
      </w:r>
      <w:r>
        <w:rPr>
          <w:rFonts w:ascii="Times New Roman;sans-serif" w:hAnsi="Times New Roman;sans-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3.3    Holder of Warrant Certificate May Enforce Rights.</w:t>
      </w:r>
      <w:r>
        <w:rPr>
          <w:color w:val="000000"/>
        </w:rPr>
        <w:t xml:space="preserve"> </w:t>
      </w:r>
      <w:r>
        <w:rPr>
          <w:rFonts w:ascii="Times New Roman;sans-serif" w:hAnsi="Times New Roman;sans-serif"/>
          <w:b w:val="false"/>
          <w:color w:val="000000"/>
          <w:sz w:val="22"/>
        </w:rPr>
        <w:t xml:space="preserve">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w:t>
      </w:r>
    </w:p>
    <w:p>
      <w:pPr>
        <w:pStyle w:val="TextBody"/>
        <w:bidi w:val="0"/>
        <w:spacing w:before="0" w:after="20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2"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3.4    Merger, Sale, Conveyance or Lease.</w:t>
      </w:r>
      <w:r>
        <w:rPr>
          <w:color w:val="000000"/>
        </w:rPr>
        <w:t xml:space="preserve"> </w:t>
      </w:r>
      <w:r>
        <w:rPr>
          <w:rFonts w:ascii="Times New Roman;sans-serif" w:hAnsi="Times New Roman;sans-serif"/>
          <w:b w:val="false"/>
          <w:color w:val="000000"/>
          <w:sz w:val="22"/>
        </w:rPr>
        <w:t>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sans-serif" w:hAnsi="Times New Roman;sans-serif"/>
          <w:b/>
          <w:i/>
          <w:color w:val="000000"/>
          <w:sz w:val="22"/>
        </w:rPr>
        <w:t>Reorganization Event</w:t>
      </w:r>
      <w:r>
        <w:rPr>
          <w:color w:val="000000"/>
        </w:rPr>
        <w:t>”</w:t>
      </w:r>
      <w:r>
        <w:rPr>
          <w:rFonts w:ascii="Times New Roman;sans-serif" w:hAnsi="Times New Roman;sans-serif"/>
          <w:b w:val="false"/>
          <w:color w:val="000000"/>
          <w:sz w:val="22"/>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3.5    Notice to Warrantholders. </w:t>
      </w:r>
      <w:r>
        <w:rPr>
          <w:rFonts w:ascii="Times New Roman;sans-serif" w:hAnsi="Times New Roman;sans-serif"/>
          <w:b w:val="false"/>
          <w:color w:val="000000"/>
          <w:sz w:val="22"/>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4</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4.1    </w:t>
      </w:r>
      <w:r>
        <w:rPr>
          <w:rFonts w:ascii="Times New Roman;sans-serif" w:hAnsi="Times New Roman;sans-serif"/>
          <w:b w:val="false"/>
          <w:color w:val="000000"/>
          <w:sz w:val="22"/>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w:t>
      </w:r>
    </w:p>
    <w:p>
      <w:pPr>
        <w:pStyle w:val="TextBody"/>
        <w:bidi w:val="0"/>
        <w:spacing w:before="0" w:after="20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3"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4.2    Treatment of Holders of Warrant Certificates.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4.3    Cancellation of Warrant Certificates. </w:t>
      </w:r>
      <w:r>
        <w:rPr>
          <w:rFonts w:ascii="Times New Roman;sans-serif" w:hAnsi="Times New Roman;sans-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5</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CONCERNING THE WARRANT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5.1    Warrant Agent. </w:t>
      </w:r>
      <w:r>
        <w:rPr>
          <w:rFonts w:ascii="Times New Roman;sans-serif" w:hAnsi="Times New Roman;sans-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5.2    Conditions of Warrant Agent’s Obligations. </w:t>
      </w:r>
      <w:r>
        <w:rPr>
          <w:rFonts w:ascii="Times New Roman;sans-serif" w:hAnsi="Times New Roman;sans-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(a)    Compensation and Indemnification. </w:t>
      </w:r>
      <w:r>
        <w:rPr>
          <w:rFonts w:ascii="Times New Roman;sans-serif" w:hAnsi="Times New Roman;sans-serif"/>
          <w:b w:val="false"/>
          <w:color w:val="000000"/>
          <w:sz w:val="22"/>
        </w:rPr>
        <w:t xml:space="preserve">The Company agrees promptly to pay the Warrant Agent the compensation to be agreed upon with the Company for all services rendered by the Warrant Agent and to reimburse the Warrant Agent for reasonable out-of-pocket expenses (including </w:t>
      </w:r>
    </w:p>
    <w:p>
      <w:pPr>
        <w:pStyle w:val="TextBody"/>
        <w:bidi w:val="0"/>
        <w:spacing w:before="0" w:after="20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4"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(b)    Agent for the Company. </w:t>
      </w:r>
      <w:r>
        <w:rPr>
          <w:rFonts w:ascii="Times New Roman;sans-serif" w:hAnsi="Times New Roman;sans-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(c)    Counsel. </w:t>
      </w:r>
      <w:r>
        <w:rPr>
          <w:rFonts w:ascii="Times New Roman;sans-serif" w:hAnsi="Times New Roman;sans-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(d)    Documents. </w:t>
      </w:r>
      <w:r>
        <w:rPr>
          <w:rFonts w:ascii="Times New Roman;sans-serif" w:hAnsi="Times New Roman;sans-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(e)    Certain Transactions. </w:t>
      </w:r>
      <w:r>
        <w:rPr>
          <w:rFonts w:ascii="Times New Roman;sans-serif" w:hAnsi="Times New Roman;sans-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(f)    No Liability for Interest. </w:t>
      </w:r>
      <w:r>
        <w:rPr>
          <w:rFonts w:ascii="Times New Roman;sans-serif" w:hAnsi="Times New Roman;sans-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(g)    No Liability for Invalidity. </w:t>
      </w:r>
      <w:r>
        <w:rPr>
          <w:rFonts w:ascii="Times New Roman;sans-serif" w:hAnsi="Times New Roman;sans-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(h)    No Responsibility for Representations. </w:t>
      </w:r>
      <w:r>
        <w:rPr>
          <w:rFonts w:ascii="Times New Roman;sans-serif" w:hAnsi="Times New Roman;sans-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ans-serif" w:hAnsi="Times New Roman;sans-serif"/>
          <w:b/>
          <w:color w:val="000000"/>
          <w:sz w:val="22"/>
        </w:rPr>
        <w:t xml:space="preserve">(i)    No Implied Obligations. </w:t>
      </w:r>
      <w:r>
        <w:rPr>
          <w:rFonts w:ascii="Times New Roman;sans-serif" w:hAnsi="Times New Roman;sans-serif"/>
          <w:b w:val="false"/>
          <w:color w:val="000000"/>
          <w:sz w:val="22"/>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w:t>
      </w:r>
    </w:p>
    <w:p>
      <w:pPr>
        <w:pStyle w:val="TextBody"/>
        <w:bidi w:val="0"/>
        <w:spacing w:before="0" w:after="20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5"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ans-serif" w:hAnsi="Times New Roman;sans-serif"/>
          <w:b/>
          <w:color w:val="000000"/>
          <w:sz w:val="22"/>
        </w:rPr>
        <w:t>(a)</w:t>
      </w:r>
      <w:r>
        <w:rPr>
          <w:color w:val="000000"/>
        </w:rPr>
        <w:t>    </w:t>
      </w:r>
      <w:r>
        <w:rPr>
          <w:rFonts w:ascii="Times New Roman;sans-serif" w:hAnsi="Times New Roman;sans-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ans-serif" w:hAnsi="Times New Roman;sans-serif"/>
          <w:b/>
          <w:color w:val="000000"/>
          <w:sz w:val="22"/>
        </w:rPr>
        <w:t>(b)</w:t>
      </w:r>
      <w:r>
        <w:rPr>
          <w:color w:val="000000"/>
        </w:rPr>
        <w:t>    </w:t>
      </w:r>
      <w:r>
        <w:rPr>
          <w:rFonts w:ascii="Times New Roman;sans-serif" w:hAnsi="Times New Roman;sans-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ans-serif" w:hAnsi="Times New Roman;sans-serif"/>
          <w:b/>
          <w:color w:val="000000"/>
          <w:sz w:val="22"/>
        </w:rPr>
        <w:t>(c)    </w:t>
      </w:r>
      <w:r>
        <w:rPr>
          <w:rFonts w:ascii="Times New Roman;sans-serif" w:hAnsi="Times New Roman;sans-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ans-serif" w:hAnsi="Times New Roman;sans-serif"/>
          <w:b/>
          <w:color w:val="000000"/>
          <w:sz w:val="22"/>
        </w:rPr>
        <w:t>(d)    </w:t>
      </w:r>
      <w:r>
        <w:rPr>
          <w:rFonts w:ascii="Times New Roman;sans-serif" w:hAnsi="Times New Roman;sans-serif"/>
          <w:b w:val="false"/>
          <w:color w:val="000000"/>
          <w:sz w:val="22"/>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t>
      </w:r>
    </w:p>
    <w:p>
      <w:pPr>
        <w:pStyle w:val="TextBody"/>
        <w:bidi w:val="0"/>
        <w:spacing w:before="0" w:after="20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6"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ans-serif" w:hAnsi="Times New Roman;sans-serif"/>
          <w:b/>
          <w:color w:val="000000"/>
          <w:sz w:val="22"/>
        </w:rPr>
        <w:t>(e)    </w:t>
      </w:r>
      <w:r>
        <w:rPr>
          <w:rFonts w:ascii="Times New Roman;sans-serif" w:hAnsi="Times New Roman;sans-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ind w:left="0" w:right="0" w:firstLine="360"/>
        <w:jc w:val="center"/>
        <w:rPr>
          <w:rFonts w:ascii="Times New Roman;sans-serif" w:hAnsi="Times New Roman;sans-serif"/>
          <w:b/>
          <w:color w:val="000000"/>
          <w:sz w:val="22"/>
        </w:rPr>
      </w:pPr>
      <w:r>
        <w:rPr>
          <w:rFonts w:ascii="Times New Roman;sans-serif" w:hAnsi="Times New Roman;sans-serif"/>
          <w:b/>
          <w:color w:val="000000"/>
          <w:sz w:val="22"/>
        </w:rPr>
        <w:t>Article 6</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MISCELLANEOUS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6.1    Amendment. </w:t>
      </w:r>
      <w:r>
        <w:rPr>
          <w:rFonts w:ascii="Times New Roman;sans-serif" w:hAnsi="Times New Roman;sans-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6.2    Notices and Demands to the Company and Warrant Agent. </w:t>
      </w:r>
      <w:r>
        <w:rPr>
          <w:rFonts w:ascii="Times New Roman;sans-serif" w:hAnsi="Times New Roman;sans-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6.3    Addresses. </w:t>
      </w:r>
      <w:r>
        <w:rPr>
          <w:rFonts w:ascii="Times New Roman;sans-serif" w:hAnsi="Times New Roman;sans-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Life360, Inc., 1900 S. Norfolk Street, Suite 310, San Mateo, CA 94107, Attention: [●]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1.1    Governing Law. </w:t>
      </w:r>
      <w:r>
        <w:rPr>
          <w:rFonts w:ascii="Times New Roman;sans-serif" w:hAnsi="Times New Roman;sans-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6.4    Delivery of Prospectus. </w:t>
      </w:r>
      <w:r>
        <w:rPr>
          <w:rFonts w:ascii="Times New Roman;sans-serif" w:hAnsi="Times New Roman;sans-serif"/>
          <w:b w:val="false"/>
          <w:color w:val="000000"/>
          <w:sz w:val="22"/>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sans-serif" w:hAnsi="Times New Roman;sans-serif"/>
          <w:b/>
          <w:i/>
          <w:color w:val="000000"/>
          <w:sz w:val="22"/>
        </w:rPr>
        <w:t>Prospectus</w:t>
      </w:r>
      <w:r>
        <w:rPr>
          <w:color w:val="000000"/>
        </w:rPr>
        <w:t>”</w:t>
      </w:r>
      <w:r>
        <w:rPr>
          <w:rFonts w:ascii="Times New Roman;sans-serif" w:hAnsi="Times New Roman;sans-serif"/>
          <w:b w:val="false"/>
          <w:color w:val="000000"/>
          <w:sz w:val="22"/>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6.5    Obtaining of Governmental Approvals. </w:t>
      </w:r>
      <w:r>
        <w:rPr>
          <w:rFonts w:ascii="Times New Roman;sans-serif" w:hAnsi="Times New Roman;sans-serif"/>
          <w:b w:val="false"/>
          <w:color w:val="000000"/>
          <w:sz w:val="22"/>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w:t>
      </w:r>
    </w:p>
    <w:p>
      <w:pPr>
        <w:pStyle w:val="TextBody"/>
        <w:bidi w:val="0"/>
        <w:spacing w:before="0" w:after="20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7"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6.6    Persons Having Rights Under this Agreement. </w:t>
      </w:r>
      <w:r>
        <w:rPr>
          <w:rFonts w:ascii="Times New Roman;sans-serif" w:hAnsi="Times New Roman;sans-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6.7    Headings. </w:t>
      </w:r>
      <w:r>
        <w:rPr>
          <w:rFonts w:ascii="Times New Roman;sans-serif" w:hAnsi="Times New Roman;sans-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6.8    Counterparts. </w:t>
      </w:r>
      <w:r>
        <w:rPr>
          <w:rFonts w:ascii="Times New Roman;sans-serif" w:hAnsi="Times New Roman;sans-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6.9    Inspection of Agreement. </w:t>
      </w:r>
      <w:r>
        <w:rPr>
          <w:rFonts w:ascii="Times New Roman;sans-serif" w:hAnsi="Times New Roman;sans-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78"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In Witness Whereof,</w:t>
      </w:r>
      <w:r>
        <w:rPr>
          <w:color w:val="000000"/>
        </w:rPr>
        <w:t xml:space="preserve"> </w:t>
      </w:r>
      <w:r>
        <w:rPr>
          <w:rFonts w:ascii="Times New Roman;sans-serif" w:hAnsi="Times New Roman;sans-serif"/>
          <w:b w:val="false"/>
          <w:color w:val="000000"/>
          <w:sz w:val="22"/>
        </w:rPr>
        <w:t>the parties hereto have caused this Agreement to be duly executed as of the day and year first above written.</w:t>
      </w:r>
    </w:p>
    <w:tbl>
      <w:tblPr>
        <w:tblW w:w="3351"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4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319" w:before="0" w:after="200"/>
              <w:jc w:val="both"/>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ans-serif" w:hAnsi="Times New Roman;sans-serif"/>
                <w:b/>
                <w:color w:val="000000"/>
                <w:sz w:val="22"/>
              </w:rPr>
              <w:t>[●]</w:t>
            </w:r>
            <w:r>
              <w:rPr>
                <w:rFonts w:ascii="Times New Roman;sans-serif" w:hAnsi="Times New Roman;sans-serif"/>
                <w:b w:val="false"/>
                <w:color w:val="000000"/>
                <w:sz w:val="22"/>
              </w:rPr>
              <w:t>, as Warrant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Attest:</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79"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Debt Securities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Life360, Inc. Debt Securities Warrant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WARRANT CERTIFICATE</w:t>
      </w:r>
    </w:p>
    <w:p>
      <w:pPr>
        <w:pStyle w:val="TextBody"/>
        <w:bidi w:val="0"/>
        <w:spacing w:lineRule="auto" w:line="288" w:before="0" w:after="1000"/>
        <w:jc w:val="center"/>
        <w:rPr>
          <w:rFonts w:ascii="Times New Roman;sans-serif" w:hAnsi="Times New Roman;sans-serif"/>
          <w:b/>
          <w:color w:val="000000"/>
          <w:sz w:val="22"/>
        </w:rPr>
      </w:pPr>
      <w:r>
        <w:rPr>
          <w:rFonts w:ascii="Times New Roman;sans-serif" w:hAnsi="Times New Roman;sans-serif"/>
          <w:b/>
          <w:color w:val="000000"/>
          <w:sz w:val="22"/>
        </w:rPr>
        <w:t>[FACE OF WARRANT CERTIFICATE]</w:t>
      </w:r>
    </w:p>
    <w:tbl>
      <w:tblPr>
        <w:tblW w:w="9222" w:type="dxa"/>
        <w:jc w:val="left"/>
        <w:tblInd w:w="0" w:type="dxa"/>
        <w:tblLayout w:type="fixed"/>
        <w:tblCellMar>
          <w:top w:w="28" w:type="dxa"/>
          <w:left w:w="28" w:type="dxa"/>
          <w:bottom w:w="28" w:type="dxa"/>
          <w:right w:w="28" w:type="dxa"/>
        </w:tblCellMar>
      </w:tblPr>
      <w:tblGrid>
        <w:gridCol w:w="1776"/>
        <w:gridCol w:w="1561"/>
        <w:gridCol w:w="1568"/>
        <w:gridCol w:w="109"/>
        <w:gridCol w:w="109"/>
        <w:gridCol w:w="109"/>
        <w:gridCol w:w="1169"/>
        <w:gridCol w:w="1169"/>
        <w:gridCol w:w="1652"/>
      </w:tblGrid>
      <w:tr>
        <w:trPr/>
        <w:tc>
          <w:tcPr>
            <w:tcW w:w="17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w:t>
            </w:r>
            <w:r>
              <w:rPr>
                <w:rFonts w:ascii="Times New Roman;sans-serif" w:hAnsi="Times New Roman;sans-serif"/>
                <w:b/>
                <w:i/>
                <w:color w:val="000000"/>
                <w:sz w:val="22"/>
              </w:rPr>
              <w:t xml:space="preserve">Form of Legend if Warrants are not immediately </w:t>
            </w:r>
          </w:p>
          <w:p>
            <w:pPr>
              <w:pStyle w:val="TableContents"/>
              <w:bidi w:val="0"/>
              <w:spacing w:lineRule="auto" w:line="288" w:before="0" w:after="0"/>
              <w:jc w:val="left"/>
              <w:rPr/>
            </w:pPr>
            <w:r>
              <w:rPr>
                <w:rFonts w:ascii="Times New Roman;sans-serif" w:hAnsi="Times New Roman;sans-serif"/>
                <w:b/>
                <w:i/>
                <w:color w:val="000000"/>
                <w:sz w:val="22"/>
              </w:rPr>
              <w:t>exercisable.</w:t>
            </w: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 Warrants evidenced by this </w:t>
            </w:r>
          </w:p>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Warrant Certificate cannot be exercised.]</w:t>
            </w:r>
          </w:p>
        </w:tc>
      </w:tr>
    </w:tbl>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EXERCISABLE ONLY IF COUNTERSIGNED BY THE WARRANT AGENT AS PROVIDED HEREIN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VOID AFTER [●] P.M., [City] time, ON [●].</w:t>
      </w:r>
    </w:p>
    <w:p>
      <w:pPr>
        <w:pStyle w:val="TextBody"/>
        <w:bidi w:val="0"/>
        <w:spacing w:before="0" w:after="20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0"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 CERTIFICATE REPRESENTING</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WARRANTS TO PURCHASE</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[TITLE OF WARRANT DEBT SECURITIES]</w:t>
      </w:r>
    </w:p>
    <w:tbl>
      <w:tblPr>
        <w:tblW w:w="2146" w:type="dxa"/>
        <w:jc w:val="lef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319"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 Warrants</w:t>
            </w:r>
          </w:p>
        </w:tc>
      </w:tr>
    </w:tbl>
    <w:p>
      <w:pPr>
        <w:pStyle w:val="TextBody"/>
        <w:bidi w:val="0"/>
        <w:spacing w:lineRule="auto" w:line="288" w:before="0" w:after="200"/>
        <w:jc w:val="both"/>
        <w:rPr/>
      </w:pPr>
      <w:r>
        <w:rPr>
          <w:rFonts w:ascii="Times New Roman;sans-serif" w:hAnsi="Times New Roman;sans-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sans-serif" w:hAnsi="Times New Roman;sans-serif"/>
          <w:b/>
          <w:i/>
          <w:color w:val="000000"/>
          <w:sz w:val="22"/>
        </w:rPr>
        <w:t>Warrant Debt Securities</w:t>
      </w:r>
      <w:r>
        <w:rPr>
          <w:color w:val="000000"/>
        </w:rPr>
        <w:t>”</w:t>
      </w:r>
      <w:r>
        <w:rPr>
          <w:rFonts w:ascii="Times New Roman;sans-serif" w:hAnsi="Times New Roman;sans-serif"/>
          <w:b w:val="false"/>
          <w:color w:val="000000"/>
          <w:sz w:val="22"/>
        </w:rPr>
        <w:t>), of Life360,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sans-serif" w:hAnsi="Times New Roman;sans-serif"/>
          <w:b/>
          <w:i/>
          <w:color w:val="000000"/>
          <w:sz w:val="22"/>
        </w:rPr>
        <w:t>Warrant Price</w:t>
      </w:r>
      <w:r>
        <w:rPr>
          <w:color w:val="000000"/>
        </w:rPr>
        <w:t>”</w:t>
      </w:r>
      <w:r>
        <w:rPr>
          <w:rFonts w:ascii="Times New Roman;sans-serif" w:hAnsi="Times New Roman;sans-serif"/>
          <w:b w:val="false"/>
          <w:color w:val="000000"/>
          <w:sz w:val="22"/>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ans-serif" w:hAnsi="Times New Roman;sans-serif"/>
          <w:b/>
          <w:i/>
          <w:color w:val="000000"/>
          <w:sz w:val="22"/>
        </w:rPr>
        <w:t>Warrant Agent</w:t>
      </w:r>
      <w:r>
        <w:rPr>
          <w:color w:val="000000"/>
        </w:rPr>
        <w:t>”</w:t>
      </w:r>
      <w:r>
        <w:rPr>
          <w:rFonts w:ascii="Times New Roman;sans-serif" w:hAnsi="Times New Roman;sans-serif"/>
          <w:b w:val="false"/>
          <w:color w:val="000000"/>
          <w:sz w:val="22"/>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lineRule="auto" w:line="288" w:before="0" w:after="200"/>
        <w:jc w:val="both"/>
        <w:rPr/>
      </w:pPr>
      <w:r>
        <w:rPr>
          <w:rFonts w:ascii="Times New Roman;sans-serif" w:hAnsi="Times New Roman;sans-serif"/>
          <w:b w:val="false"/>
          <w:color w:val="000000"/>
          <w:sz w:val="22"/>
        </w:rPr>
        <w:t>The term “</w:t>
      </w:r>
      <w:r>
        <w:rPr>
          <w:rFonts w:ascii="Times New Roman;sans-serif" w:hAnsi="Times New Roman;sans-serif"/>
          <w:b/>
          <w:i/>
          <w:color w:val="000000"/>
          <w:sz w:val="22"/>
        </w:rPr>
        <w:t>Holder</w:t>
      </w:r>
      <w:r>
        <w:rPr>
          <w:color w:val="000000"/>
        </w:rPr>
        <w:t xml:space="preserve">” </w:t>
      </w:r>
      <w:r>
        <w:rPr>
          <w:rFonts w:ascii="Times New Roman;sans-serif" w:hAnsi="Times New Roman;sans-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lineRule="auto" w:line="288" w:before="0" w:after="240"/>
        <w:jc w:val="both"/>
        <w:rPr/>
      </w:pPr>
      <w:r>
        <w:rPr>
          <w:rFonts w:ascii="Times New Roman;sans-serif" w:hAnsi="Times New Roman;sans-serif"/>
          <w:b w:val="false"/>
          <w:color w:val="000000"/>
          <w:sz w:val="22"/>
        </w:rPr>
        <w:t>This Warrant Certificate is issued under and in accordance with the Warrant Agreement dated as of [●] (the “</w:t>
      </w:r>
      <w:r>
        <w:rPr>
          <w:rFonts w:ascii="Times New Roman;sans-serif" w:hAnsi="Times New Roman;sans-serif"/>
          <w:b/>
          <w:i/>
          <w:color w:val="000000"/>
          <w:sz w:val="22"/>
        </w:rPr>
        <w:t>Warrant Agreement</w:t>
      </w:r>
      <w:r>
        <w:rPr>
          <w:color w:val="000000"/>
        </w:rPr>
        <w:t>”</w:t>
      </w:r>
      <w:r>
        <w:rPr>
          <w:rFonts w:ascii="Times New Roman;sans-serif" w:hAnsi="Times New Roman;sans-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240" w:after="2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Warrant Debt Securities to be issued and delivered upon the exercise of Warrants evidenced by this Warrant Certificate will be issued under and in accordance with an Indenture, dated as of [●] (the </w:t>
      </w:r>
    </w:p>
    <w:p>
      <w:pPr>
        <w:pStyle w:val="TextBody"/>
        <w:bidi w:val="0"/>
        <w:spacing w:before="0" w:after="20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1"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00"/>
        <w:jc w:val="both"/>
        <w:rPr/>
      </w:pPr>
      <w:r>
        <w:rPr>
          <w:color w:val="000000"/>
        </w:rPr>
        <w:t>“</w:t>
      </w:r>
      <w:r>
        <w:rPr>
          <w:rFonts w:ascii="Times New Roman;sans-serif" w:hAnsi="Times New Roman;sans-serif"/>
          <w:b/>
          <w:i/>
          <w:color w:val="000000"/>
          <w:sz w:val="22"/>
        </w:rPr>
        <w:t>Indenture</w:t>
      </w:r>
      <w:r>
        <w:rPr>
          <w:color w:val="000000"/>
        </w:rPr>
        <w:t>”</w:t>
      </w:r>
      <w:r>
        <w:rPr>
          <w:rFonts w:ascii="Times New Roman;sans-serif" w:hAnsi="Times New Roman;sans-serif"/>
          <w:b w:val="false"/>
          <w:color w:val="000000"/>
          <w:sz w:val="22"/>
        </w:rPr>
        <w:t>), between the Company and [●], as trustee (such trustee, and any successors to such trustee, the “</w:t>
      </w:r>
      <w:r>
        <w:rPr>
          <w:rFonts w:ascii="Times New Roman;sans-serif" w:hAnsi="Times New Roman;sans-serif"/>
          <w:b/>
          <w:i/>
          <w:color w:val="000000"/>
          <w:sz w:val="22"/>
        </w:rPr>
        <w:t>Trustee</w:t>
      </w:r>
      <w:r>
        <w:rPr>
          <w:color w:val="000000"/>
        </w:rPr>
        <w:t>”</w:t>
      </w:r>
      <w:r>
        <w:rPr>
          <w:rFonts w:ascii="Times New Roman;sans-serif" w:hAnsi="Times New Roman;sans-serif"/>
          <w:b w:val="false"/>
          <w:color w:val="000000"/>
          <w:sz w:val="22"/>
        </w:rPr>
        <w:t xml:space="preserve">)] and will be subject to the terms and provisions contained in the Warrant Debt Securities and in the Indenture. Copies of the Indenture, including the form of the Warrant Debt Securities, are on file at the corporate trust office of the Trustee.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Company has caused this Warrant to be executed in its name and on its behalf by the facsimile signatures of its duly authorized officers.</w:t>
      </w:r>
    </w:p>
    <w:tbl>
      <w:tblPr>
        <w:tblW w:w="3266" w:type="dxa"/>
        <w:jc w:val="left"/>
        <w:tblInd w:w="0" w:type="dxa"/>
        <w:tblLayout w:type="fixed"/>
        <w:tblCellMar>
          <w:top w:w="28" w:type="dxa"/>
          <w:left w:w="28" w:type="dxa"/>
          <w:bottom w:w="28" w:type="dxa"/>
          <w:right w:w="28" w:type="dxa"/>
        </w:tblCellMar>
      </w:tblPr>
      <w:tblGrid>
        <w:gridCol w:w="285"/>
        <w:gridCol w:w="251"/>
        <w:gridCol w:w="252"/>
        <w:gridCol w:w="117"/>
        <w:gridCol w:w="117"/>
        <w:gridCol w:w="117"/>
        <w:gridCol w:w="117"/>
        <w:gridCol w:w="117"/>
        <w:gridCol w:w="117"/>
        <w:gridCol w:w="117"/>
        <w:gridCol w:w="117"/>
        <w:gridCol w:w="117"/>
        <w:gridCol w:w="117"/>
        <w:gridCol w:w="117"/>
        <w:gridCol w:w="117"/>
        <w:gridCol w:w="117"/>
        <w:gridCol w:w="117"/>
        <w:gridCol w:w="117"/>
        <w:gridCol w:w="117"/>
        <w:gridCol w:w="117"/>
        <w:gridCol w:w="117"/>
        <w:gridCol w:w="109"/>
        <w:gridCol w:w="109"/>
        <w:gridCol w:w="154"/>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2"/>
              </w:rPr>
              <w:t>LIFE360, INC.</w:t>
            </w:r>
            <w:r>
              <w:rPr>
                <w:rFonts w:ascii="Times New Roman;sans-serif" w:hAnsi="Times New Roman;sans-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2"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176"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142"/>
        <w:gridCol w:w="142"/>
        <w:gridCol w:w="142"/>
        <w:gridCol w:w="142"/>
        <w:gridCol w:w="142"/>
        <w:gridCol w:w="142"/>
        <w:gridCol w:w="142"/>
        <w:gridCol w:w="142"/>
        <w:gridCol w:w="142"/>
        <w:gridCol w:w="109"/>
        <w:gridCol w:w="109"/>
        <w:gridCol w:w="109"/>
        <w:gridCol w:w="109"/>
        <w:gridCol w:w="109"/>
        <w:gridCol w:w="109"/>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21"/>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as Warrant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2"/>
              </w:rPr>
            </w:pPr>
            <w:r>
              <w:rPr>
                <w:rFonts w:ascii="Times New Roman;sans-serif" w:hAnsi="Times New Roman;sans-serif"/>
                <w:b/>
                <w:color w:val="000000"/>
                <w:sz w:val="22"/>
              </w:rPr>
              <w:t>ATTEST: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3"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[REVERSE OF WARRANT CERTIFICATE]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(Instructions for Exercise of Warrant)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undersigned hereby irrevocably elects to exercise ______ Warrants, evidenced by this Warrant Certificate, to purchase _______ $[●] principal amount of the [TITLE OF WARRANT DEBT SECURITIES] (the “</w:t>
      </w:r>
      <w:r>
        <w:rPr>
          <w:rFonts w:ascii="Times New Roman;sans-serif" w:hAnsi="Times New Roman;sans-serif"/>
          <w:b/>
          <w:i/>
          <w:color w:val="000000"/>
          <w:sz w:val="22"/>
        </w:rPr>
        <w:t>Warrant Debt Securities</w:t>
      </w:r>
      <w:r>
        <w:rPr>
          <w:color w:val="000000"/>
        </w:rPr>
        <w:t>”</w:t>
      </w:r>
      <w:r>
        <w:rPr>
          <w:rFonts w:ascii="Times New Roman;sans-serif" w:hAnsi="Times New Roman;sans-serif"/>
          <w:b w:val="false"/>
          <w:color w:val="000000"/>
          <w:sz w:val="22"/>
        </w:rPr>
        <w:t>), of Life360,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Life360,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Please Print</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(Insert Social Security or Other Identifying Number</w:t>
      </w:r>
    </w:p>
    <w:p>
      <w:pPr>
        <w:pStyle w:val="TextBody"/>
        <w:bidi w:val="0"/>
        <w:spacing w:lineRule="auto" w:line="319"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of Holder)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    _______________________</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Warrant may be exercised at the following addresses: By hand at:</w:t>
      </w:r>
    </w:p>
    <w:p>
      <w:pPr>
        <w:pStyle w:val="TextBody"/>
        <w:bidi w:val="0"/>
        <w:spacing w:before="0" w:after="20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4"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By mail at: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20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5"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ASSIGNMENT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ans-serif" w:hAnsi="Times New Roman;sans-serif"/>
          <w:b/>
          <w:color w:val="000000"/>
          <w:sz w:val="22"/>
        </w:rPr>
        <w:t>For Value Received,</w:t>
      </w:r>
      <w:r>
        <w:rPr>
          <w:color w:val="000000"/>
        </w:rPr>
        <w:t xml:space="preserve"> </w:t>
      </w:r>
      <w:r>
        <w:rPr>
          <w:rFonts w:ascii="Times New Roman;sans-serif" w:hAnsi="Times New Roman;sans-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1579"/>
        <w:gridCol w:w="1374"/>
        <w:gridCol w:w="1374"/>
        <w:gridCol w:w="130"/>
        <w:gridCol w:w="130"/>
        <w:gridCol w:w="130"/>
        <w:gridCol w:w="109"/>
        <w:gridCol w:w="109"/>
        <w:gridCol w:w="109"/>
        <w:gridCol w:w="1536"/>
        <w:gridCol w:w="1501"/>
        <w:gridCol w:w="2124"/>
      </w:tblGrid>
      <w:tr>
        <w:trPr/>
        <w:tc>
          <w:tcPr>
            <w:tcW w:w="157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tc>
      </w:tr>
      <w:tr>
        <w:trPr/>
        <w:tc>
          <w:tcPr>
            <w:tcW w:w="471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name and address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Please print Social Security or other identifying number</w:t>
            </w:r>
          </w:p>
        </w:tc>
      </w:tr>
    </w:tbl>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right represented by the within Warrant to purchase ________ aggregate principal amount of [Title of Warrant Debt Securities] of Life360, Inc. to which the within Warrant relates and appoints ____________________ attorney to transfer such right on the books of the Warrant Agent with full power of substitution in the premises.</w:t>
      </w:r>
    </w:p>
    <w:tbl>
      <w:tblPr>
        <w:tblW w:w="9236" w:type="dxa"/>
        <w:jc w:val="left"/>
        <w:tblInd w:w="0" w:type="dxa"/>
        <w:tblLayout w:type="fixed"/>
        <w:tblCellMar>
          <w:top w:w="28" w:type="dxa"/>
          <w:left w:w="28" w:type="dxa"/>
          <w:bottom w:w="28" w:type="dxa"/>
          <w:right w:w="28" w:type="dxa"/>
        </w:tblCellMar>
      </w:tblPr>
      <w:tblGrid>
        <w:gridCol w:w="266"/>
        <w:gridCol w:w="234"/>
        <w:gridCol w:w="235"/>
        <w:gridCol w:w="915"/>
        <w:gridCol w:w="915"/>
        <w:gridCol w:w="915"/>
        <w:gridCol w:w="109"/>
        <w:gridCol w:w="109"/>
        <w:gridCol w:w="109"/>
        <w:gridCol w:w="239"/>
        <w:gridCol w:w="239"/>
        <w:gridCol w:w="241"/>
        <w:gridCol w:w="1380"/>
        <w:gridCol w:w="1380"/>
        <w:gridCol w:w="195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27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7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bl>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(Signature must conform in all respects to name of holder as specified on the face of the Warrant)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 Guaranteed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6"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Thomas Hopkins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+1 310 883 6417</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thopkins@cooley.com</w:t>
      </w:r>
    </w:p>
    <w:p>
      <w:pPr>
        <w:pStyle w:val="TextBody"/>
        <w:bidi w:val="0"/>
        <w:spacing w:before="0" w:after="180"/>
        <w:jc w:val="left"/>
        <w:rPr/>
      </w:pPr>
      <w:r>
        <w:rPr/>
        <w:drawing>
          <wp:inline distT="0" distB="0" distL="0" distR="0">
            <wp:extent cx="1295400" cy="409575"/>
            <wp:effectExtent l="0" t="0" r="0" b="0"/>
            <wp:docPr id="18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 descr=""/>
                    <pic:cNvPicPr>
                      <a:picLocks noChangeAspect="1" noChangeArrowheads="1"/>
                    </pic:cNvPicPr>
                  </pic:nvPicPr>
                  <pic:blipFill>
                    <a:blip r:embed="rId19"/>
                    <a:stretch>
                      <a:fillRect/>
                    </a:stretch>
                  </pic:blipFill>
                  <pic:spPr bwMode="auto">
                    <a:xfrm>
                      <a:off x="0" y="0"/>
                      <a:ext cx="1295400"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9,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Life360,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1900 S. Norfolk Street, Suite 310</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San Mateo, CA 94107</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200"/>
        <w:jc w:val="both"/>
        <w:rPr/>
      </w:pPr>
      <w:r>
        <w:rPr>
          <w:rFonts w:ascii="Arial;sans-serif" w:hAnsi="Arial;sans-serif"/>
          <w:b w:val="false"/>
          <w:color w:val="000000"/>
          <w:sz w:val="20"/>
        </w:rPr>
        <w:t>We have acted as counsel to Life360,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of a Registration Statement on Form S-3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by the Company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The Registration Statement includes a prospectus (the “</w:t>
      </w:r>
      <w:r>
        <w:rPr>
          <w:rFonts w:ascii="Arial;sans-serif" w:hAnsi="Arial;sans-serif"/>
          <w:b/>
          <w:i/>
          <w:color w:val="000000"/>
          <w:sz w:val="20"/>
        </w:rPr>
        <w:t>Base Prospectus</w:t>
      </w:r>
      <w:r>
        <w:rPr>
          <w:color w:val="000000"/>
        </w:rPr>
        <w:t>”</w:t>
      </w:r>
      <w:r>
        <w:rPr>
          <w:rFonts w:ascii="Arial;sans-serif" w:hAnsi="Arial;sans-serif"/>
          <w:b w:val="false"/>
          <w:color w:val="000000"/>
          <w:sz w:val="20"/>
        </w:rPr>
        <w:t>) that provides it will be supplemented in the future by one or more prospectus supplements (each, a “</w:t>
      </w:r>
      <w:r>
        <w:rPr>
          <w:rFonts w:ascii="Arial;sans-serif" w:hAnsi="Arial;sans-serif"/>
          <w:b/>
          <w:i/>
          <w:color w:val="000000"/>
          <w:sz w:val="20"/>
        </w:rPr>
        <w:t>Prospectus Supplement</w:t>
      </w:r>
      <w:r>
        <w:rPr>
          <w:color w:val="000000"/>
        </w:rPr>
        <w:t>”</w:t>
      </w:r>
      <w:r>
        <w:rPr>
          <w:rFonts w:ascii="Arial;sans-serif" w:hAnsi="Arial;sans-serif"/>
          <w:b w:val="false"/>
          <w:color w:val="000000"/>
          <w:sz w:val="20"/>
        </w:rPr>
        <w:t xml:space="preserve">). The Registration Statement, including the Base Prospectus (as supplemented from time to time by one or more Prospectus Supplements), will provide for the registration by the Company of the sale of the following securities: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common stock, par value $0.001 per share, of the Company (the “</w:t>
      </w:r>
      <w:r>
        <w:rPr>
          <w:rFonts w:ascii="Arial;sans-serif" w:hAnsi="Arial;sans-serif"/>
          <w:b/>
          <w:i/>
          <w:color w:val="000000"/>
          <w:sz w:val="20"/>
        </w:rPr>
        <w:t>Common Stock</w:t>
      </w:r>
      <w:r>
        <w:rPr>
          <w:color w:val="000000"/>
        </w:rPr>
        <w:t>”</w:t>
      </w:r>
      <w:r>
        <w:rPr>
          <w:rFonts w:ascii="Arial;sans-serif" w:hAnsi="Arial;sans-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preferred stock, par value $0.001 per share, of the Company (the “</w:t>
      </w:r>
      <w:r>
        <w:rPr>
          <w:rFonts w:ascii="Arial;sans-serif" w:hAnsi="Arial;sans-serif"/>
          <w:b/>
          <w:i/>
          <w:color w:val="000000"/>
          <w:sz w:val="20"/>
        </w:rPr>
        <w:t>Preferred Stock</w:t>
      </w:r>
      <w:r>
        <w:rPr>
          <w:color w:val="000000"/>
        </w:rPr>
        <w:t>”</w:t>
      </w:r>
      <w:r>
        <w:rPr>
          <w:rFonts w:ascii="Arial;sans-serif" w:hAnsi="Arial;sans-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debt securities, in one or more series (the “</w:t>
      </w:r>
      <w:r>
        <w:rPr>
          <w:rFonts w:ascii="Arial;sans-serif" w:hAnsi="Arial;sans-serif"/>
          <w:b/>
          <w:i/>
          <w:color w:val="000000"/>
          <w:sz w:val="20"/>
        </w:rPr>
        <w:t>Debt Securities</w:t>
      </w:r>
      <w:r>
        <w:rPr>
          <w:color w:val="000000"/>
        </w:rPr>
        <w:t>”</w:t>
      </w:r>
      <w:r>
        <w:rPr>
          <w:rFonts w:ascii="Arial;sans-serif" w:hAnsi="Arial;sans-serif"/>
          <w:b w:val="false"/>
          <w:color w:val="000000"/>
          <w:sz w:val="20"/>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0"/>
        </w:rPr>
        <w:t>Trustee</w:t>
      </w:r>
      <w:r>
        <w:rPr>
          <w:color w:val="000000"/>
        </w:rPr>
        <w:t>”</w:t>
      </w:r>
      <w:r>
        <w:rPr>
          <w:rFonts w:ascii="Arial;sans-serif" w:hAnsi="Arial;sans-serif"/>
          <w:b w:val="false"/>
          <w:color w:val="000000"/>
          <w:sz w:val="20"/>
        </w:rPr>
        <w:t>) and the Company, in the form filed as Exhibit 4.4 to the Registration Statement and one or more indentures supplemental thereto with respect to any particular series of Debt Securities (the “</w:t>
      </w:r>
      <w:r>
        <w:rPr>
          <w:rFonts w:ascii="Arial;sans-serif" w:hAnsi="Arial;sans-serif"/>
          <w:b/>
          <w:i/>
          <w:color w:val="000000"/>
          <w:sz w:val="20"/>
        </w:rPr>
        <w:t>Indenture</w:t>
      </w:r>
      <w:r>
        <w:rPr>
          <w:color w:val="000000"/>
        </w:rPr>
        <w:t>”</w:t>
      </w:r>
      <w:r>
        <w:rPr>
          <w:rFonts w:ascii="Arial;sans-serif" w:hAnsi="Arial;sans-serif"/>
          <w:b w:val="false"/>
          <w:color w:val="000000"/>
          <w:sz w:val="20"/>
        </w:rPr>
        <w:t>);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warrants to purchase Common Stock, Preferred Stock or Debt Securities (the “</w:t>
      </w:r>
      <w:r>
        <w:rPr>
          <w:rFonts w:ascii="Arial;sans-serif" w:hAnsi="Arial;sans-serif"/>
          <w:b/>
          <w:i/>
          <w:color w:val="000000"/>
          <w:sz w:val="20"/>
        </w:rPr>
        <w:t>Warrants</w:t>
      </w:r>
      <w:r>
        <w:rPr>
          <w:color w:val="000000"/>
        </w:rPr>
        <w:t>”</w:t>
      </w:r>
      <w:r>
        <w:rPr>
          <w:rFonts w:ascii="Arial;sans-serif" w:hAnsi="Arial;sans-serif"/>
          <w:b w:val="false"/>
          <w:color w:val="000000"/>
          <w:sz w:val="20"/>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0"/>
        </w:rPr>
        <w:t>Warrant Agent</w:t>
      </w:r>
      <w:r>
        <w:rPr>
          <w:color w:val="000000"/>
        </w:rPr>
        <w:t>”</w:t>
      </w:r>
      <w:r>
        <w:rPr>
          <w:rFonts w:ascii="Arial;sans-serif" w:hAnsi="Arial;sans-serif"/>
          <w:b w:val="false"/>
          <w:color w:val="000000"/>
          <w:sz w:val="20"/>
        </w:rPr>
        <w:t>) and the Company, in the forms filed as Exhibits 4.5, 4.6 and 4.7 to the Registration Statement, respectively (each, a “</w:t>
      </w:r>
      <w:r>
        <w:rPr>
          <w:rFonts w:ascii="Arial;sans-serif" w:hAnsi="Arial;sans-serif"/>
          <w:b/>
          <w:i/>
          <w:color w:val="000000"/>
          <w:sz w:val="20"/>
        </w:rPr>
        <w:t>Warrant Agreement</w:t>
      </w:r>
      <w:r>
        <w:rPr>
          <w:color w:val="000000"/>
        </w:rPr>
        <w:t>”</w:t>
      </w:r>
      <w:r>
        <w:rPr>
          <w:rFonts w:ascii="Arial;sans-serif" w:hAnsi="Arial;sans-serif"/>
          <w:b w:val="false"/>
          <w:color w:val="000000"/>
          <w:sz w:val="20"/>
        </w:rPr>
        <w:t>).</w:t>
      </w:r>
    </w:p>
    <w:p>
      <w:pPr>
        <w:pStyle w:val="TextBody"/>
        <w:bidi w:val="0"/>
        <w:spacing w:lineRule="auto" w:line="288" w:before="0" w:after="200"/>
        <w:jc w:val="both"/>
        <w:rPr/>
      </w:pPr>
      <w:r>
        <w:rPr>
          <w:rFonts w:ascii="Arial;sans-serif" w:hAnsi="Arial;sans-serif"/>
          <w:b w:val="false"/>
          <w:color w:val="000000"/>
          <w:sz w:val="20"/>
        </w:rPr>
        <w:t>The Common Stock, the Preferred Stock, the Debt Securities and the Warrants are collectively referred to herein as the “</w:t>
      </w:r>
      <w:r>
        <w:rPr>
          <w:rFonts w:ascii="Arial;sans-serif" w:hAnsi="Arial;sans-serif"/>
          <w:b/>
          <w:i/>
          <w:color w:val="000000"/>
          <w:sz w:val="20"/>
        </w:rPr>
        <w:t>Securities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Securities are being registered for offer and sale from time to time pursuant to Rule 415 under the Securities Act.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w:t>
      </w:r>
    </w:p>
    <w:p>
      <w:pPr>
        <w:pStyle w:val="TextBody"/>
        <w:bidi w:val="0"/>
        <w:spacing w:before="0" w:after="36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084580"/>
                <wp:effectExtent l="0" t="0" r="0" b="0"/>
                <wp:wrapNone/>
                <wp:docPr id="188" name="Frame179"/>
                <a:graphic xmlns:a="http://schemas.openxmlformats.org/drawingml/2006/main">
                  <a:graphicData uri="http://schemas.microsoft.com/office/word/2010/wordprocessingShape">
                    <wps:wsp>
                      <wps:cNvSpPr txBox="1"/>
                      <wps:spPr>
                        <a:xfrm>
                          <a:off x="0" y="0"/>
                          <a:ext cx="6480175" cy="10845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09575"/>
            <wp:effectExtent l="0" t="0" r="0" b="0"/>
            <wp:docPr id="18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0" descr=""/>
                    <pic:cNvPicPr>
                      <a:picLocks noChangeAspect="1" noChangeArrowheads="1"/>
                    </pic:cNvPicPr>
                  </pic:nvPicPr>
                  <pic:blipFill>
                    <a:blip r:embed="rId20"/>
                    <a:stretch>
                      <a:fillRect/>
                    </a:stretch>
                  </pic:blipFill>
                  <pic:spPr bwMode="auto">
                    <a:xfrm>
                      <a:off x="0" y="0"/>
                      <a:ext cx="1295400"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9, 2024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and subject to the qualifications herein stated, we are of the opinion that:</w:t>
      </w:r>
    </w:p>
    <w:p>
      <w:pPr>
        <w:pStyle w:val="TextBody"/>
        <w:bidi w:val="0"/>
        <w:spacing w:lineRule="auto" w:line="288" w:before="0" w:after="20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sans-serif" w:hAnsi="Arial;sans-serif"/>
          <w:b/>
          <w:i/>
          <w:color w:val="000000"/>
          <w:sz w:val="20"/>
        </w:rPr>
        <w:t>Certificate of Incorporation</w:t>
      </w:r>
      <w:r>
        <w:rPr>
          <w:color w:val="000000"/>
        </w:rPr>
        <w:t>”</w:t>
      </w:r>
      <w:r>
        <w:rPr>
          <w:rFonts w:ascii="Arial;sans-serif" w:hAnsi="Arial;sans-serif"/>
          <w:b w:val="false"/>
          <w:color w:val="000000"/>
          <w:sz w:val="20"/>
        </w:rPr>
        <w:t>) and bylaws (the “</w:t>
      </w:r>
      <w:r>
        <w:rPr>
          <w:rFonts w:ascii="Arial;sans-serif" w:hAnsi="Arial;sans-serif"/>
          <w:b/>
          <w:i/>
          <w:color w:val="000000"/>
          <w:sz w:val="20"/>
        </w:rPr>
        <w:t>Bylaws</w:t>
      </w:r>
      <w:r>
        <w:rPr>
          <w:color w:val="000000"/>
        </w:rPr>
        <w:t>”</w:t>
      </w:r>
      <w:r>
        <w:rPr>
          <w:rFonts w:ascii="Arial;sans-serif" w:hAnsi="Arial;sans-serif"/>
          <w:b w:val="false"/>
          <w:color w:val="000000"/>
          <w:sz w:val="20"/>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TextBody"/>
        <w:bidi w:val="0"/>
        <w:spacing w:before="0" w:after="36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64845"/>
                <wp:effectExtent l="0" t="0" r="0" b="0"/>
                <wp:wrapNone/>
                <wp:docPr id="190" name="Frame18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r>
                                    <w:br w:type="page"/>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09575"/>
            <wp:effectExtent l="0" t="0" r="0" b="0"/>
            <wp:docPr id="19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 descr=""/>
                    <pic:cNvPicPr>
                      <a:picLocks noChangeAspect="1" noChangeArrowheads="1"/>
                    </pic:cNvPicPr>
                  </pic:nvPicPr>
                  <pic:blipFill>
                    <a:blip r:embed="rId21"/>
                    <a:stretch>
                      <a:fillRect/>
                    </a:stretch>
                  </pic:blipFill>
                  <pic:spPr bwMode="auto">
                    <a:xfrm>
                      <a:off x="0" y="0"/>
                      <a:ext cx="1295400"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9, 2024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lineRule="auto" w:line="288" w:before="0" w:after="20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Certificate of Incorporation has been amended to authorize the Preferred Stock; (iii) the terms and issuance of the Preferred Stock have been duly authorized by all necessary corporate action on the part of the Company; (iv)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(v)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bidi w:val="0"/>
        <w:spacing w:lineRule="auto" w:line="288" w:before="0" w:after="20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20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 xml:space="preserve">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w:t>
      </w:r>
    </w:p>
    <w:p>
      <w:pPr>
        <w:pStyle w:val="TextBody"/>
        <w:bidi w:val="0"/>
        <w:spacing w:before="0" w:after="36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64845"/>
                <wp:effectExtent l="0" t="0" r="0" b="0"/>
                <wp:wrapNone/>
                <wp:docPr id="192" name="Frame18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r>
                                    <w:br w:type="page"/>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09575"/>
            <wp:effectExtent l="0" t="0" r="0" b="0"/>
            <wp:docPr id="19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2" descr=""/>
                    <pic:cNvPicPr>
                      <a:picLocks noChangeAspect="1" noChangeArrowheads="1"/>
                    </pic:cNvPicPr>
                  </pic:nvPicPr>
                  <pic:blipFill>
                    <a:blip r:embed="rId22"/>
                    <a:stretch>
                      <a:fillRect/>
                    </a:stretch>
                  </pic:blipFill>
                  <pic:spPr bwMode="auto">
                    <a:xfrm>
                      <a:off x="0" y="0"/>
                      <a:ext cx="1295400"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9, 2024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36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64845"/>
                <wp:effectExtent l="0" t="0" r="0" b="0"/>
                <wp:wrapNone/>
                <wp:docPr id="194" name="Frame18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r>
                                    <w:br w:type="page"/>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95400" cy="409575"/>
            <wp:effectExtent l="0" t="0" r="0" b="0"/>
            <wp:docPr id="19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 descr=""/>
                    <pic:cNvPicPr>
                      <a:picLocks noChangeAspect="1" noChangeArrowheads="1"/>
                    </pic:cNvPicPr>
                  </pic:nvPicPr>
                  <pic:blipFill>
                    <a:blip r:embed="rId23"/>
                    <a:stretch>
                      <a:fillRect/>
                    </a:stretch>
                  </pic:blipFill>
                  <pic:spPr bwMode="auto">
                    <a:xfrm>
                      <a:off x="0" y="0"/>
                      <a:ext cx="1295400" cy="4095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9, 2024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hereby consent to the filing of this opinion as an exhibit to the Registration Statement and to the reference to our firm under the caption “Legal Matters” in the Base Prospectus. In giving such consent, we do not thereby admit that we are in the category of persons whose consent is required under Section 7 of the Securities Act or the rules and regulations of the Commission thereunder.</w:t>
      </w:r>
    </w:p>
    <w:p>
      <w:pPr>
        <w:pStyle w:val="TextBody"/>
        <w:bidi w:val="0"/>
        <w:spacing w:lineRule="auto" w:line="288" w:before="0" w:after="1100"/>
        <w:jc w:val="both"/>
        <w:rPr>
          <w:rFonts w:ascii="Arial;sans-serif" w:hAnsi="Arial;sans-serif"/>
          <w:b w:val="false"/>
          <w:color w:val="000000"/>
          <w:sz w:val="20"/>
        </w:rPr>
      </w:pPr>
      <w:r>
        <w:rPr>
          <w:rFonts w:ascii="Arial;sans-serif" w:hAnsi="Arial;sans-serif"/>
          <w:b w:val="false"/>
          <w:color w:val="000000"/>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0" w:after="720"/>
        <w:jc w:val="left"/>
        <w:rPr>
          <w:rFonts w:ascii="Arial;sans-serif" w:hAnsi="Arial;sans-serif"/>
          <w:b/>
          <w:color w:val="000000"/>
          <w:sz w:val="20"/>
        </w:rPr>
      </w:pPr>
      <w:r>
        <w:rPr>
          <w:rFonts w:ascii="Arial;sans-serif" w:hAnsi="Arial;sans-serif"/>
          <w:b/>
          <w:color w:val="000000"/>
          <w:sz w:val="20"/>
        </w:rPr>
        <w:t>Cooley LLP</w:t>
      </w:r>
    </w:p>
    <w:tbl>
      <w:tblPr>
        <w:tblW w:w="2907" w:type="dxa"/>
        <w:jc w:val="left"/>
        <w:tblInd w:w="0" w:type="dxa"/>
        <w:tblLayout w:type="fixed"/>
        <w:tblCellMar>
          <w:top w:w="28" w:type="dxa"/>
          <w:left w:w="28" w:type="dxa"/>
          <w:bottom w:w="28" w:type="dxa"/>
          <w:right w:w="28" w:type="dxa"/>
        </w:tblCellMar>
      </w:tblPr>
      <w:tblGrid>
        <w:gridCol w:w="151"/>
        <w:gridCol w:w="134"/>
        <w:gridCol w:w="135"/>
        <w:gridCol w:w="704"/>
        <w:gridCol w:w="704"/>
        <w:gridCol w:w="707"/>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C. Thomas Hopkins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Thomas Hopkins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64845"/>
                <wp:effectExtent l="0" t="0" r="0" b="0"/>
                <wp:wrapNone/>
                <wp:docPr id="196" name="Frame18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430.35pt;mso-position-horizontal:left;mso-position-horizontal-relative:text">
                <v:textbox>
                  <w:txbxContent>
                    <w:tbl>
                      <w:tblPr>
                        <w:tblW w:w="4199" w:type="dxa"/>
                        <w:jc w:val="left"/>
                        <w:tblInd w:w="0" w:type="dxa"/>
                        <w:tblLayout w:type="fixed"/>
                        <w:tblCellMar>
                          <w:top w:w="28" w:type="dxa"/>
                          <w:left w:w="28" w:type="dxa"/>
                          <w:bottom w:w="28" w:type="dxa"/>
                          <w:right w:w="28" w:type="dxa"/>
                        </w:tblCellMar>
                      </w:tblPr>
                      <w:tblGrid>
                        <w:gridCol w:w="1345"/>
                        <w:gridCol w:w="1181"/>
                        <w:gridCol w:w="1673"/>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Cooley LLP 1333 2nd Street, Suite 400, Santa Monica, CA 90401</w:t>
                            </w:r>
                          </w:p>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t: (310) 883-6400 f: (310) 883-6500 cooley.com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Consent of Independent Registered Public Accounting Firm</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Life360, Inc.</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San Mateo, California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hereby consent to the incorporation by reference in the Prospectus constituting a part of this Registration Statement of our report dated March 23, 2023, relating to the consolidated financial statements of Life360, Inc. (the Company) appearing in the Company’s Annual Report on Form 10-K for the year ended December 31, 2023. </w:t>
      </w:r>
    </w:p>
    <w:p>
      <w:pPr>
        <w:pStyle w:val="TextBody"/>
        <w:bidi w:val="0"/>
        <w:spacing w:lineRule="auto" w:line="288" w:before="0" w:after="240"/>
        <w:jc w:val="both"/>
        <w:rPr/>
      </w:pPr>
      <w:r>
        <w:rPr>
          <w:rFonts w:ascii="Times New Roman;sans-serif" w:hAnsi="Times New Roman;sans-serif"/>
          <w:b w:val="false"/>
          <w:color w:val="000000"/>
          <w:sz w:val="22"/>
        </w:rPr>
        <w:t>We also consent to the reference to us under the caption “Experts” in the Prospectus.</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BDO USA, P.C.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San Francisco, California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May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23.2</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Arial;sans-serif" w:hAnsi="Arial;sans-serif"/>
          <w:b/>
          <w:color w:val="666666"/>
          <w:sz w:val="22"/>
          <w:shd w:fill="FFFFFF" w:val="clear"/>
        </w:rPr>
      </w:pPr>
      <w:r>
        <w:rPr>
          <w:rFonts w:ascii="Arial;sans-serif" w:hAnsi="Arial;sans-serif"/>
          <w:b/>
          <w:color w:val="666666"/>
          <w:sz w:val="22"/>
          <w:shd w:fill="FFFFFF" w:val="clear"/>
        </w:rPr>
        <w:t>CONSENT OF INDEPENDENT REGISTERED PUBLIC ACCOUNTING FIRM</w:t>
      </w:r>
    </w:p>
    <w:p>
      <w:pPr>
        <w:pStyle w:val="TextBody"/>
        <w:bidi w:val="0"/>
        <w:spacing w:lineRule="auto" w:line="417"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We consent to the incorporation by reference in this Registration Statement on Form S-3 of our reports dated February 29, 2024 relating to the financial statements of Life360, Inc. and the effectiveness of Life360, Inc.'s internal control over financial reporting, appearing in the Annual Report on Form 10-K of Life360, Inc. for the year ended December 31, 2023. We also consent to the reference to us under the heading "Experts" in such Registration Statement.</w:t>
      </w:r>
    </w:p>
    <w:p>
      <w:pPr>
        <w:pStyle w:val="TextBody"/>
        <w:bidi w:val="0"/>
        <w:spacing w:lineRule="auto" w:line="417"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lineRule="auto" w:line="417" w:before="0" w:after="16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San Francisco, CA</w:t>
      </w:r>
    </w:p>
    <w:p>
      <w:pPr>
        <w:pStyle w:val="TextBody"/>
        <w:bidi w:val="0"/>
        <w:spacing w:lineRule="auto" w:line="417"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May 9, 2024</w:t>
      </w:r>
    </w:p>
    <w:p>
      <w:pPr>
        <w:pStyle w:val="TextBody"/>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ix?doc=/Archives/edgar/data/1581760/000158176024000006/lifx-20231231.htm" TargetMode="External"/><Relationship Id="rId11" Type="http://schemas.openxmlformats.org/officeDocument/2006/relationships/hyperlink" Target="https://www.sec.gov/ix?doc=/Archives/edgar/data/0001581760/000119312524097815/d587685ddef14a.htm" TargetMode="External"/><Relationship Id="rId12" Type="http://schemas.openxmlformats.org/officeDocument/2006/relationships/hyperlink" Target="https://www.sec.gov/ix?doc=/Archives/edgar/data/0001581760/000119312524097815/d587685ddef14a.htm" TargetMode="External"/><Relationship Id="rId13" Type="http://schemas.openxmlformats.org/officeDocument/2006/relationships/hyperlink" Target="https://www.sec.gov/ix?doc=/Archives/edgar/data/0001581760/000119312524097815/d587685ddef14a.htm" TargetMode="External"/><Relationship Id="rId14" Type="http://schemas.openxmlformats.org/officeDocument/2006/relationships/hyperlink" Target="https://www.sec.gov/Archives/edgar/data/1581760/000158176024000006/exhibit42descriptionofcapi.htm" TargetMode="External"/><Relationship Id="rId15" Type="http://schemas.openxmlformats.org/officeDocument/2006/relationships/hyperlink" Target="https://www.sec.gov/Archives/edgar/data/1581760/000119312522120522/d328928dex31.htm" TargetMode="External"/><Relationship Id="rId16" Type="http://schemas.openxmlformats.org/officeDocument/2006/relationships/hyperlink" Target="https://www.sec.gov/Archives/edgar/data/1581760/000158176023000031/exhibit32-life360fy22xbyla.htm" TargetMode="External"/><Relationship Id="rId17" Type="http://schemas.openxmlformats.org/officeDocument/2006/relationships/hyperlink" Target="https://www.sec.gov/Archives/edgar/data/1581760/000119312522120522/d328928dex31.htm" TargetMode="External"/><Relationship Id="rId18" Type="http://schemas.openxmlformats.org/officeDocument/2006/relationships/hyperlink" Target="https://www.sec.gov/Archives/edgar/data/1581760/000158176023000031/exhibit32-life360fy22xbyla.htm" TargetMode="External"/><Relationship Id="rId19" Type="http://schemas.openxmlformats.org/officeDocument/2006/relationships/image" Target="media/image9.jpeg"/><Relationship Id="rId20" Type="http://schemas.openxmlformats.org/officeDocument/2006/relationships/image" Target="media/image9.jpeg"/><Relationship Id="rId21" Type="http://schemas.openxmlformats.org/officeDocument/2006/relationships/image" Target="media/image9.jpeg"/><Relationship Id="rId22" Type="http://schemas.openxmlformats.org/officeDocument/2006/relationships/image" Target="media/image9.jpeg"/><Relationship Id="rId23" Type="http://schemas.openxmlformats.org/officeDocument/2006/relationships/image" Target="media/image9.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185</Pages>
  <Words>84228</Words>
  <Characters>440271</Characters>
  <CharactersWithSpaces>523390</CharactersWithSpaces>
  <Paragraphs>3306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