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181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18109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Hulls Chris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19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06/27/2022</w:t>
            </w:r>
          </w:p>
        </w:tc>
        <w:tc>
          <w:tcPr>
            <w:tcW w:w="0" w:type="dxa"/>
            <w:vAlign w:val="bottom"/>
          </w:tcPr>
          <w:p>
            <w:pPr>
              <w:spacing w:after="0"/>
              <w:rPr>
                <w:sz w:val="1"/>
                <w:szCs w:val="1"/>
                <w:color w:val="auto"/>
              </w:rPr>
            </w:pPr>
          </w:p>
        </w:tc>
      </w:tr>
    </w:tbl>
    <w:p>
      <w:pPr>
        <w:spacing w:after="0" w:line="150"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jc w:val="center"/>
              <w:ind w:right="114"/>
              <w:spacing w:after="0"/>
              <w:rPr>
                <w:sz w:val="20"/>
                <w:szCs w:val="20"/>
                <w:color w:val="auto"/>
              </w:rPr>
            </w:pPr>
            <w:r>
              <w:rPr>
                <w:rFonts w:ascii="Arial" w:cs="Arial" w:eastAsia="Arial" w:hAnsi="Arial"/>
                <w:sz w:val="15"/>
                <w:szCs w:val="15"/>
                <w:color w:val="auto"/>
                <w:w w:val="99"/>
              </w:rPr>
              <w:t>(Middle)</w:t>
            </w:r>
          </w:p>
        </w:tc>
      </w:tr>
      <w:tr>
        <w:trPr>
          <w:trHeight w:val="310"/>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LIFE360, INC.</w:t>
            </w:r>
          </w:p>
        </w:tc>
        <w:tc>
          <w:tcPr>
            <w:tcW w:w="126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539 BRYANT STREET, SUITE 402</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7"/>
        </w:trPr>
        <w:tc>
          <w:tcPr>
            <w:tcW w:w="7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0000FF"/>
              </w:rPr>
              <w:t>SAN</w:t>
            </w: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515"/>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 xml:space="preserve">FRANCISCO </w:t>
            </w:r>
            <w:r>
              <w:rPr>
                <w:rFonts w:ascii="Times New Roman" w:cs="Times New Roman" w:eastAsia="Times New Roman" w:hAnsi="Times New Roman"/>
                <w:sz w:val="39"/>
                <w:szCs w:val="39"/>
                <w:color w:val="0000FF"/>
                <w:vertAlign w:val="superscript"/>
              </w:rPr>
              <w:t>CA</w:t>
            </w:r>
          </w:p>
        </w:tc>
        <w:tc>
          <w:tcPr>
            <w:tcW w:w="126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94107</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Life360,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360.AX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460" w:type="dxa"/>
            <w:vAlign w:val="bottom"/>
            <w:vMerge w:val="restart"/>
          </w:tcPr>
          <w:p>
            <w:pPr>
              <w:ind w:left="180"/>
              <w:spacing w:after="0" w:line="227" w:lineRule="exact"/>
              <w:rPr>
                <w:sz w:val="20"/>
                <w:szCs w:val="20"/>
                <w:color w:val="auto"/>
              </w:rPr>
            </w:pPr>
            <w:r>
              <w:rPr>
                <w:rFonts w:ascii="Times New Roman" w:cs="Times New Roman" w:eastAsia="Times New Roman" w:hAnsi="Times New Roman"/>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4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720" w:type="dxa"/>
            <w:vAlign w:val="bottom"/>
            <w:gridSpan w:val="3"/>
          </w:tcPr>
          <w:p>
            <w:pPr>
              <w:ind w:left="60"/>
              <w:spacing w:after="0" w:line="164"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1280" w:type="dxa"/>
            <w:vAlign w:val="bottom"/>
          </w:tcPr>
          <w:p>
            <w:pPr>
              <w:ind w:left="6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line="225" w:lineRule="exact"/>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20"/>
                <w:szCs w:val="20"/>
                <w:color w:val="0000FF"/>
              </w:rPr>
              <w:t>Chief Executive Officer</w:t>
            </w:r>
          </w:p>
        </w:tc>
        <w:tc>
          <w:tcPr>
            <w:tcW w:w="20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2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60" w:type="dxa"/>
            <w:vAlign w:val="bottom"/>
          </w:tcPr>
          <w:p>
            <w:pPr>
              <w:spacing w:after="0"/>
              <w:rPr>
                <w:sz w:val="19"/>
                <w:szCs w:val="19"/>
                <w:color w:val="auto"/>
              </w:rPr>
            </w:pPr>
          </w:p>
        </w:tc>
        <w:tc>
          <w:tcPr>
            <w:tcW w:w="27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ind w:left="3720"/>
        <w:spacing w:after="0" w:line="229" w:lineRule="auto"/>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39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2. Amount of Securities</w:t>
            </w: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3"/>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right="213"/>
              <w:spacing w:after="0"/>
              <w:rPr>
                <w:sz w:val="20"/>
                <w:szCs w:val="20"/>
                <w:color w:val="auto"/>
              </w:rPr>
            </w:pPr>
            <w:r>
              <w:rPr>
                <w:rFonts w:ascii="Times New Roman" w:cs="Times New Roman" w:eastAsia="Times New Roman" w:hAnsi="Times New Roman"/>
                <w:sz w:val="20"/>
                <w:szCs w:val="20"/>
                <w:color w:val="0000FF"/>
              </w:rPr>
              <w:t>3,031,429</w:t>
            </w:r>
            <w:r>
              <w:rPr>
                <w:rFonts w:ascii="Times New Roman" w:cs="Times New Roman" w:eastAsia="Times New Roman" w:hAnsi="Times New Roman"/>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5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right="333"/>
              <w:spacing w:after="0"/>
              <w:rPr>
                <w:sz w:val="20"/>
                <w:szCs w:val="20"/>
                <w:color w:val="auto"/>
              </w:rPr>
            </w:pPr>
            <w:r>
              <w:rPr>
                <w:rFonts w:ascii="Times New Roman" w:cs="Times New Roman" w:eastAsia="Times New Roman" w:hAnsi="Times New Roman"/>
                <w:sz w:val="20"/>
                <w:szCs w:val="20"/>
                <w:color w:val="0000FF"/>
              </w:rPr>
              <w:t>29,960</w:t>
            </w:r>
            <w:r>
              <w:rPr>
                <w:rFonts w:ascii="Times New Roman" w:cs="Times New Roman" w:eastAsia="Times New Roman" w:hAnsi="Times New Roman"/>
                <w:sz w:val="25"/>
                <w:szCs w:val="25"/>
                <w:color w:val="008000"/>
                <w:vertAlign w:val="superscript"/>
              </w:rPr>
              <w:t>(2)</w:t>
            </w:r>
          </w:p>
        </w:tc>
        <w:tc>
          <w:tcPr>
            <w:tcW w:w="9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20"/>
                <w:szCs w:val="20"/>
                <w:color w:val="0000FF"/>
              </w:rPr>
              <w:t>I</w:t>
            </w:r>
          </w:p>
        </w:tc>
        <w:tc>
          <w:tcPr>
            <w:tcW w:w="56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20"/>
                <w:szCs w:val="20"/>
                <w:color w:val="0000FF"/>
              </w:rPr>
              <w:t>Held by ICCA Labs, LLC</w:t>
            </w:r>
            <w:r>
              <w:rPr>
                <w:rFonts w:ascii="Times New Roman" w:cs="Times New Roman" w:eastAsia="Times New Roman" w:hAnsi="Times New Roman"/>
                <w:sz w:val="25"/>
                <w:szCs w:val="25"/>
                <w:color w:val="008000"/>
                <w:vertAlign w:val="superscript"/>
              </w:rPr>
              <w:t>(3)</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200" w:type="dxa"/>
            <w:vAlign w:val="bottom"/>
            <w:tcBorders>
              <w:top w:val="single" w:sz="8" w:color="2C2C2C"/>
            </w:tcBorders>
            <w:gridSpan w:val="6"/>
          </w:tcPr>
          <w:p>
            <w:pPr>
              <w:ind w:left="2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7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80" w:type="dxa"/>
            <w:vAlign w:val="bottom"/>
          </w:tcPr>
          <w:p>
            <w:pPr>
              <w:spacing w:after="0"/>
              <w:rPr>
                <w:sz w:val="18"/>
                <w:szCs w:val="18"/>
                <w:color w:val="auto"/>
              </w:rPr>
            </w:pPr>
          </w:p>
        </w:tc>
        <w:tc>
          <w:tcPr>
            <w:tcW w:w="186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gridSpan w:val="2"/>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1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10/24/2027</w:t>
            </w:r>
          </w:p>
        </w:tc>
        <w:tc>
          <w:tcPr>
            <w:tcW w:w="18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208,987</w:t>
            </w:r>
          </w:p>
        </w:tc>
        <w:tc>
          <w:tcPr>
            <w:tcW w:w="4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2.15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1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07/16/2028</w:t>
            </w:r>
          </w:p>
        </w:tc>
        <w:tc>
          <w:tcPr>
            <w:tcW w:w="18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1,269,386</w:t>
            </w:r>
          </w:p>
        </w:tc>
        <w:tc>
          <w:tcPr>
            <w:tcW w:w="4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2.53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1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10/30/2028</w:t>
            </w:r>
          </w:p>
        </w:tc>
        <w:tc>
          <w:tcPr>
            <w:tcW w:w="18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9"/>
              </w:rPr>
              <w:t>10</w:t>
            </w:r>
          </w:p>
        </w:tc>
        <w:tc>
          <w:tcPr>
            <w:tcW w:w="4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9.55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1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07/30/2030</w:t>
            </w:r>
          </w:p>
        </w:tc>
        <w:tc>
          <w:tcPr>
            <w:tcW w:w="18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230,000</w:t>
            </w:r>
          </w:p>
        </w:tc>
        <w:tc>
          <w:tcPr>
            <w:tcW w:w="4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7.28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1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02/01/2031</w:t>
            </w:r>
          </w:p>
        </w:tc>
        <w:tc>
          <w:tcPr>
            <w:tcW w:w="18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100,000</w:t>
            </w:r>
          </w:p>
        </w:tc>
        <w:tc>
          <w:tcPr>
            <w:tcW w:w="4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13.35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1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(8)</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05/20/2032</w:t>
            </w:r>
          </w:p>
        </w:tc>
        <w:tc>
          <w:tcPr>
            <w:tcW w:w="18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204,573</w:t>
            </w:r>
          </w:p>
        </w:tc>
        <w:tc>
          <w:tcPr>
            <w:tcW w:w="4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8.19</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80" w:firstLine="5"/>
        <w:spacing w:after="0" w:line="244"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1,686,552 shares of the Issuer's common stock underlying 5,059,656 Chess Depositary Interests ("CDIs"). The CDIs are traded on the Australian Securities Exchange (the "ASX") and are held by CHESS Depositary Nominees Pty, Limited, a subsidiary of ASX Limited, the company that operates the ASX. Also includes 103,596 restricted stock units, each of which represents a contingent right to receive one share of the Issuer's common stock upon vesting.</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shares of the Issuer's common stock underlying 89,880 CDIs.</w:t>
      </w:r>
    </w:p>
    <w:p>
      <w:pPr>
        <w:spacing w:after="0" w:line="52" w:lineRule="exact"/>
        <w:rPr>
          <w:rFonts w:ascii="Times New Roman" w:cs="Times New Roman" w:eastAsia="Times New Roman" w:hAnsi="Times New Roman"/>
          <w:sz w:val="15"/>
          <w:szCs w:val="15"/>
          <w:color w:val="008000"/>
        </w:rPr>
      </w:pPr>
    </w:p>
    <w:p>
      <w:pPr>
        <w:ind w:left="40" w:right="14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a member of ICCA Labs, LLC, an entity that holds an aggregate of 133,408 shares of the Issuer's common stock underlying 400,224 CDIs. The number of shares reported herein by the Reporting Person represents his proportionate ownership interest in ICCA Labs, LLC.</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is fully vested and exercisable.</w:t>
      </w:r>
    </w:p>
    <w:p>
      <w:pPr>
        <w:spacing w:after="0" w:line="52" w:lineRule="exact"/>
        <w:rPr>
          <w:rFonts w:ascii="Times New Roman" w:cs="Times New Roman" w:eastAsia="Times New Roman" w:hAnsi="Times New Roman"/>
          <w:sz w:val="15"/>
          <w:szCs w:val="15"/>
          <w:color w:val="008000"/>
        </w:rPr>
      </w:pPr>
    </w:p>
    <w:p>
      <w:pPr>
        <w:ind w:left="40" w:right="34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1/48th of the total number of shares in equal monthly installments beginning on August 16, 2018, until such time as the option is 100% vested, subject to the continuing employment of the Reporting Person on each vesting date.</w:t>
      </w:r>
    </w:p>
    <w:p>
      <w:pPr>
        <w:spacing w:after="0" w:line="17" w:lineRule="exact"/>
        <w:rPr>
          <w:rFonts w:ascii="Times New Roman" w:cs="Times New Roman" w:eastAsia="Times New Roman" w:hAnsi="Times New Roman"/>
          <w:sz w:val="15"/>
          <w:szCs w:val="15"/>
          <w:color w:val="008000"/>
        </w:rPr>
      </w:pPr>
    </w:p>
    <w:p>
      <w:pPr>
        <w:ind w:left="40" w:right="34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1/48th of the total number of shares in equal monthly installments beginning on August 30, 2020, until such time as the option is 100% vested, subject to the continuing employment of the Reporting Person on each vesting date.</w:t>
      </w:r>
    </w:p>
    <w:p>
      <w:pPr>
        <w:spacing w:after="0" w:line="17" w:lineRule="exact"/>
        <w:rPr>
          <w:rFonts w:ascii="Times New Roman" w:cs="Times New Roman" w:eastAsia="Times New Roman" w:hAnsi="Times New Roman"/>
          <w:sz w:val="15"/>
          <w:szCs w:val="15"/>
          <w:color w:val="008000"/>
        </w:rPr>
      </w:pPr>
    </w:p>
    <w:p>
      <w:pPr>
        <w:ind w:left="40" w:right="46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1/48th of the total number of shares in equal monthly installments beginning on March 1, 2021, until such time as the option is 100% vested, subject to the continuing employment of the Reporting Person on each vesting date.</w:t>
      </w:r>
    </w:p>
    <w:p>
      <w:pPr>
        <w:spacing w:after="0" w:line="17" w:lineRule="exact"/>
        <w:rPr>
          <w:rFonts w:ascii="Times New Roman" w:cs="Times New Roman" w:eastAsia="Times New Roman" w:hAnsi="Times New Roman"/>
          <w:sz w:val="15"/>
          <w:szCs w:val="15"/>
          <w:color w:val="008000"/>
        </w:rPr>
      </w:pPr>
    </w:p>
    <w:p>
      <w:pPr>
        <w:ind w:left="40" w:right="32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1/48th of the total number of shares in equal monthly installments beginning on February 1, 2022, until such time as the option is 100% vested, subject to the continuing employment of the Reporting Person on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658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Menudier, as</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96"/>
              </w:rPr>
              <w:t>06/27/2022</w:t>
            </w:r>
          </w:p>
        </w:tc>
        <w:tc>
          <w:tcPr>
            <w:tcW w:w="0" w:type="dxa"/>
            <w:vAlign w:val="bottom"/>
          </w:tcPr>
          <w:p>
            <w:pPr>
              <w:spacing w:after="0"/>
              <w:rPr>
                <w:sz w:val="1"/>
                <w:szCs w:val="1"/>
                <w:color w:val="auto"/>
              </w:rPr>
            </w:pPr>
          </w:p>
        </w:tc>
      </w:tr>
      <w:tr>
        <w:trPr>
          <w:trHeight w:val="105"/>
        </w:trPr>
        <w:tc>
          <w:tcPr>
            <w:tcW w:w="18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800" w:type="dxa"/>
            <w:vAlign w:val="bottom"/>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ind w:left="6540"/>
        <w:spacing w:after="0"/>
        <w:rPr>
          <w:sz w:val="20"/>
          <w:szCs w:val="20"/>
          <w:color w:val="auto"/>
        </w:rPr>
      </w:pPr>
      <w:r>
        <w:rPr>
          <w:rFonts w:ascii="Arial" w:cs="Arial" w:eastAsia="Arial" w:hAnsi="Arial"/>
          <w:sz w:val="15"/>
          <w:szCs w:val="15"/>
          <w:color w:val="auto"/>
        </w:rPr>
        <w:t>** Signature of Reporting</w:t>
      </w:r>
    </w:p>
    <w:p>
      <w:pPr>
        <w:spacing w:after="0" w:line="6"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Person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Date</w:t>
      </w:r>
    </w:p>
    <w:p>
      <w:pPr>
        <w:spacing w:after="0" w:line="667" w:lineRule="exact"/>
        <w:rPr>
          <w:sz w:val="20"/>
          <w:szCs w:val="20"/>
          <w:color w:val="auto"/>
        </w:rPr>
      </w:pPr>
    </w:p>
    <w:p>
      <w:pPr>
        <w:sectPr>
          <w:pgSz w:w="11900" w:h="16838" w:orient="portrait"/>
          <w:cols w:equalWidth="0" w:num="2">
            <w:col w:w="8200" w:space="520"/>
            <w:col w:w="2100"/>
          </w:cols>
          <w:pgMar w:left="520" w:top="125" w:right="559" w:bottom="1440" w:gutter="0" w:footer="0" w:header="0"/>
        </w:sectPr>
      </w:pPr>
    </w:p>
    <w:p>
      <w:pPr>
        <w:jc w:val="both"/>
        <w:ind w:right="2160" w:firstLine="5"/>
        <w:spacing w:after="0" w:line="335" w:lineRule="auto"/>
        <w:tabs>
          <w:tab w:leader="none" w:pos="15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839" w:firstLine="819"/>
        <w:spacing w:after="0" w:line="238" w:lineRule="auto"/>
        <w:rPr>
          <w:sz w:val="20"/>
          <w:szCs w:val="20"/>
          <w:color w:val="auto"/>
        </w:rPr>
      </w:pPr>
      <w:r>
        <w:rPr>
          <w:rFonts w:ascii="Courier New" w:cs="Courier New" w:eastAsia="Courier New" w:hAnsi="Courier New"/>
          <w:sz w:val="20"/>
          <w:szCs w:val="20"/>
          <w:color w:val="auto"/>
        </w:rPr>
        <w:t>The undersigned as a Section 16 reporting person of Life360, Inc. (the "Company"), hereby constitutes and appoints Russell J. Burke, Kirsten Daru and Daniel Menudier, and each of them, the undersigned's true and lawful attorney-in-fact to:</w:t>
      </w:r>
    </w:p>
    <w:p>
      <w:pPr>
        <w:ind w:left="460" w:hanging="460"/>
        <w:spacing w:after="0"/>
        <w:tabs>
          <w:tab w:leader="none" w:pos="460"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deliver and file for and on behalf of the undersigned, in the</w:t>
      </w:r>
    </w:p>
    <w:p>
      <w:pPr>
        <w:ind w:right="8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undersigned's capacity as an officer and/or director of the Company, Forms 3, 4, and 5 in accordance with Section 16(a) of the Exchange Act;</w:t>
      </w:r>
    </w:p>
    <w:p>
      <w:pPr>
        <w:ind w:right="739"/>
        <w:spacing w:after="0" w:line="264" w:lineRule="auto"/>
        <w:tabs>
          <w:tab w:leader="none" w:pos="46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w:t>
      </w:r>
    </w:p>
    <w:p>
      <w:pPr>
        <w:spacing w:after="0" w:line="3" w:lineRule="exact"/>
        <w:rPr>
          <w:rFonts w:ascii="Courier New" w:cs="Courier New" w:eastAsia="Courier New" w:hAnsi="Courier New"/>
          <w:sz w:val="18"/>
          <w:szCs w:val="18"/>
          <w:color w:val="auto"/>
        </w:rPr>
      </w:pPr>
    </w:p>
    <w:p>
      <w:pPr>
        <w:ind w:right="619"/>
        <w:spacing w:after="0" w:line="238" w:lineRule="auto"/>
        <w:tabs>
          <w:tab w:leader="none" w:pos="468"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 w:lineRule="exact"/>
        <w:rPr>
          <w:rFonts w:ascii="Courier New" w:cs="Courier New" w:eastAsia="Courier New" w:hAnsi="Courier New"/>
          <w:sz w:val="20"/>
          <w:szCs w:val="20"/>
          <w:color w:val="auto"/>
        </w:rPr>
      </w:pPr>
    </w:p>
    <w:p>
      <w:pPr>
        <w:ind w:right="619"/>
        <w:spacing w:after="0" w:line="238" w:lineRule="auto"/>
        <w:tabs>
          <w:tab w:leader="none" w:pos="468"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rFonts w:ascii="Courier New" w:cs="Courier New" w:eastAsia="Courier New" w:hAnsi="Courier New"/>
          <w:sz w:val="20"/>
          <w:szCs w:val="20"/>
          <w:color w:val="auto"/>
        </w:rPr>
      </w:pPr>
    </w:p>
    <w:p>
      <w:pPr>
        <w:ind w:right="61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The undersigned further acknowledges and agrees that the attorney-in-fact and the Company are relying on written and oral information provided by the undersigned to complete such forms and the undersigned is responsible for reviewing the completed forms prior to their filing. The attorney-in-fact and the Company are not responsible for any errors or omissions in such filings. The attorney-in-fact and the Company are not responsible for determining whether or not the transactions reported could be matched with any other transactions for the purpose of determining liability for short-swing profits under Section 16(b).</w:t>
      </w:r>
    </w:p>
    <w:p>
      <w:pPr>
        <w:spacing w:after="0" w:line="9"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5/25/2022.</w:t>
      </w:r>
    </w:p>
    <w:p>
      <w:pPr>
        <w:ind w:right="787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/s/ Chris Hulls Name: Chris Hulls</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32498" TargetMode="External"/><Relationship Id="rId11"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2022-06-27T18:41:51Z</dcterms:created>
  <dcterms:modified xsi:type="dcterms:W3CDTF">2022-06-27T18:41:51Z</dcterms:modified>
</cp:coreProperties>
</file>