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167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16724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80" w:type="dxa"/>
            <w:vAlign w:val="bottom"/>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Hulls Chris</w:t>
              </w:r>
            </w:hyperlink>
          </w:p>
        </w:tc>
        <w:tc>
          <w:tcPr>
            <w:tcW w:w="10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Life360,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LIF</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980" w:type="dxa"/>
            <w:vAlign w:val="bottom"/>
            <w:tcBorders>
              <w:bottom w:val="single" w:sz="8" w:color="0000EE"/>
            </w:tcBorders>
            <w:vMerge w:val="continue"/>
          </w:tcPr>
          <w:p>
            <w:pPr>
              <w:spacing w:after="0"/>
              <w:rPr>
                <w:sz w:val="5"/>
                <w:szCs w:val="5"/>
                <w:color w:val="auto"/>
              </w:rPr>
            </w:pPr>
          </w:p>
        </w:tc>
        <w:tc>
          <w:tcPr>
            <w:tcW w:w="10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9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20" w:type="dxa"/>
            <w:vAlign w:val="bottom"/>
            <w:vMerge w:val="restart"/>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03/25/2026</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67"/>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03/25/2026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54,595</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388,914</w:t>
            </w:r>
            <w:r>
              <w:rPr>
                <w:rFonts w:ascii="Times New Roman" w:cs="Times New Roman" w:eastAsia="Times New Roman" w:hAnsi="Times New Roman"/>
                <w:sz w:val="22"/>
                <w:szCs w:val="22"/>
                <w:color w:val="008000"/>
                <w:w w:val="91"/>
                <w:vertAlign w:val="superscript"/>
              </w:rPr>
              <w:t>(2)(3)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Robin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195,312</w:t>
            </w:r>
            <w:r>
              <w:rPr>
                <w:rFonts w:ascii="Times New Roman" w:cs="Times New Roman" w:eastAsia="Times New Roman" w:hAnsi="Times New Roman"/>
                <w:sz w:val="22"/>
                <w:szCs w:val="22"/>
                <w:color w:val="008000"/>
                <w:w w:val="93"/>
                <w:vertAlign w:val="superscript"/>
              </w:rPr>
              <w:t>(4)</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Hulls 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195,312</w:t>
            </w:r>
            <w:r>
              <w:rPr>
                <w:rFonts w:ascii="Times New Roman" w:cs="Times New Roman" w:eastAsia="Times New Roman" w:hAnsi="Times New Roman"/>
                <w:sz w:val="22"/>
                <w:szCs w:val="22"/>
                <w:color w:val="008000"/>
                <w:w w:val="93"/>
                <w:vertAlign w:val="superscript"/>
              </w:rPr>
              <w:t>(4)</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Mckenzie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4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Hulls 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Rose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195,312</w:t>
            </w:r>
            <w:r>
              <w:rPr>
                <w:rFonts w:ascii="Times New Roman" w:cs="Times New Roman" w:eastAsia="Times New Roman" w:hAnsi="Times New Roman"/>
                <w:sz w:val="22"/>
                <w:szCs w:val="22"/>
                <w:color w:val="008000"/>
                <w:w w:val="93"/>
                <w:vertAlign w:val="superscript"/>
              </w:rPr>
              <w:t>(4)</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Hulls 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3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("PRSUs") granted to the Reporting Person on April 9, 2025. In light of the performance-based vesting condition, this grant was not reportable under Section 16 until the performance metric was satisfied. On March 25, 2026, it was determined that the performance metric had been met. Each PRSU represents a contingent right to receive one share of the Issuer's common stock upon settlement. 25% of the PRSUs vested on January 1, 2026 with the remaining 75% converting to time-based RSUs and vesting in twelve equal quarterly installments thereafter, subject to the Reporting Person's continuous service through each vest date.</w:t>
      </w:r>
    </w:p>
    <w:p>
      <w:pPr>
        <w:spacing w:after="0" w:line="24"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common stock and the number of shares of common stock underlying Chess Depositary Interests ("CDIs") as converted on a 1:3 common stock to CDI ratio. The CDIs are traded on the Australian Securities Exchange (the "ASX") and are held by CHESS Depositary Nominees Pty, Limited, a subsidiary of ASX Limited, the company that operates the ASX.</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162,966 restricted stock units previously granted,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underlying 585,938 CDIs.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Jay Sood, Attorney-in-Fact  03/27/2026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38" w:orient="portrait"/>
          <w:cols w:equalWidth="0" w:num="1">
            <w:col w:w="11000"/>
          </w:cols>
          <w:pgMar w:left="460" w:top="219" w:right="439" w:bottom="0" w:gutter="0" w:footer="0" w:header="0"/>
          <w:type w:val="continuous"/>
        </w:sectPr>
      </w:pPr>
    </w:p>
    <w:bookmarkStart w:id="1" w:name="page2"/>
    <w:bookmarkEnd w:id="1"/>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2498"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2026-03-27T18:02:30Z</dcterms:created>
  <dcterms:modified xsi:type="dcterms:W3CDTF">2026-03-27T18:02:30Z</dcterms:modified>
</cp:coreProperties>
</file>