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4469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44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Hulls Chris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06/27/2022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Life360,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360.AX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1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C/O LIFE360, INC.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539 BRYANT STREET, SUITE 402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7"/>
        </w:trPr>
        <w:tc>
          <w:tcPr>
            <w:tcW w:w="780" w:type="dxa"/>
            <w:vAlign w:val="bottom"/>
          </w:tcPr>
          <w:p>
            <w:pPr>
              <w:ind w:left="4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SAN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475"/>
        </w:trPr>
        <w:tc>
          <w:tcPr>
            <w:tcW w:w="18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 xml:space="preserve">FRANCISCO </w:t>
            </w:r>
            <w:r>
              <w:rPr>
                <w:rFonts w:ascii="Times New Roman" w:cs="Times New Roman" w:eastAsia="Times New Roman" w:hAnsi="Times New Roman"/>
                <w:sz w:val="39"/>
                <w:szCs w:val="39"/>
                <w:color w:val="0000FF"/>
                <w:vertAlign w:val="superscript"/>
              </w:rPr>
              <w:t>CA</w:t>
            </w: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jc w:val="right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94107</w:t>
            </w:r>
          </w:p>
        </w:tc>
      </w:tr>
      <w:tr>
        <w:trPr>
          <w:trHeight w:val="34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18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Officer (give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title 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Executive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440" w:firstLine="9"/>
        <w:spacing w:after="0" w:line="244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06/27/2022</w:t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ind w:right="480" w:firstLine="9"/>
        <w:spacing w:after="0" w:line="252" w:lineRule="auto"/>
        <w:tabs>
          <w:tab w:leader="none" w:pos="167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60" w:right="340" w:hanging="304"/>
        <w:spacing w:after="0" w:line="180" w:lineRule="auto"/>
        <w:tabs>
          <w:tab w:leader="none" w:pos="46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60" w:right="320"/>
        <w:spacing w:after="0" w:line="264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5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0"/>
            <w:col w:w="2680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4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05/20/2028</w:t>
            </w: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9"/>
              </w:rPr>
              <w:t>281,965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w w:val="99"/>
                <w:vertAlign w:val="superscript"/>
              </w:rPr>
              <w:t>(2)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8.19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 w:right="380" w:firstLine="5"/>
        <w:spacing w:after="0" w:line="259" w:lineRule="auto"/>
        <w:tabs>
          <w:tab w:leader="none" w:pos="19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stock option vests and becomes exercisable as to 1/4th of the total number of shares in equal quarterly installments beginning on August 15, 2022, until such time as the option is 100% vested, subject to the continuing service of the Reporting Person on each vesting date.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40" w:right="160" w:firstLine="5"/>
        <w:spacing w:after="0" w:line="259" w:lineRule="auto"/>
        <w:tabs>
          <w:tab w:leader="none" w:pos="19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As the result of an administrative error, the Form 3 filed by the Reporting Person on June 27, as amended on June 29, 2022, under-reported the number of shares underlying this stock option. This Form 3/A is being filed to correct such number of shares reported in this column 3.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Daniel Menudier, as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07/20/2022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Attorney-in-Fact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6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38E1F29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46E87CCD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3D1B58BA"/>
    <w:multiLevelType w:val="hybridMultilevel"/>
    <w:lvl w:ilvl="0">
      <w:lvlJc w:val="left"/>
      <w:lvlText w:val="%1."/>
      <w:numFmt w:val="decimal"/>
      <w:start w:val="1"/>
    </w:lvl>
  </w:abstractNum>
  <w:abstractNum w:abstractNumId="5">
    <w:nsid w:val="507ED7AB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932498" TargetMode="External"/><Relationship Id="rId11" Type="http://schemas.openxmlformats.org/officeDocument/2006/relationships/hyperlink" Target="http://www.sec.gov/cgi-bin/browse-edgar?action=getcompany&amp;CIK=00015817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2022-07-20T18:27:20Z</dcterms:created>
  <dcterms:modified xsi:type="dcterms:W3CDTF">2022-07-20T18:27:20Z</dcterms:modified>
</cp:coreProperties>
</file>