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657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657465"/>
                    </a:xfrm>
                    <a:prstGeom prst="rect">
                      <a:avLst/>
                    </a:prstGeom>
                    <a:noFill/>
                  </pic:spPr>
                </pic:pic>
              </a:graphicData>
            </a:graphic>
          </wp:anchor>
        </w:drawing>
      </w:r>
    </w:p>
    <w:p>
      <w:pPr>
        <w:spacing w:after="0" w:line="1222" w:lineRule="exact"/>
        <w:rPr>
          <w:sz w:val="24"/>
          <w:szCs w:val="24"/>
          <w:color w:val="auto"/>
        </w:rPr>
      </w:pPr>
    </w:p>
    <w:p>
      <w:pPr>
        <w:sectPr>
          <w:pgSz w:w="11900" w:h="16854"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980" w:type="dxa"/>
            <w:vAlign w:val="bottom"/>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Hulls Chris</w:t>
              </w:r>
            </w:hyperlink>
          </w:p>
        </w:tc>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980" w:type="dxa"/>
            <w:vAlign w:val="bottom"/>
            <w:tcBorders>
              <w:bottom w:val="single" w:sz="8" w:color="0000EE"/>
            </w:tcBorders>
            <w:vMerge w:val="continue"/>
          </w:tcPr>
          <w:p>
            <w:pPr>
              <w:spacing w:after="0"/>
              <w:rPr>
                <w:sz w:val="5"/>
                <w:szCs w:val="5"/>
                <w:color w:val="auto"/>
              </w:rPr>
            </w:pPr>
          </w:p>
        </w:tc>
        <w:tc>
          <w:tcPr>
            <w:tcW w:w="10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06/05/2025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000" w:type="dxa"/>
            <w:vAlign w:val="bottom"/>
            <w:gridSpan w:val="2"/>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0"/>
          <w:szCs w:val="20"/>
          <w:color w:val="auto"/>
        </w:rPr>
      </w:pPr>
    </w:p>
    <w:p>
      <w:pPr>
        <w:sectPr>
          <w:pgSz w:w="11900" w:h="16854" w:orient="portrait"/>
          <w:cols w:equalWidth="0" w:num="2">
            <w:col w:w="7660" w:space="75"/>
            <w:col w:w="3265"/>
          </w:cols>
          <w:pgMar w:left="460" w:top="219" w:right="43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54"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06/05/2025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7,495</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64.01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1"/>
              </w:rPr>
              <w:t>457,331</w:t>
            </w:r>
            <w:r>
              <w:rPr>
                <w:rFonts w:ascii="Times New Roman" w:cs="Times New Roman" w:eastAsia="Times New Roman" w:hAnsi="Times New Roman"/>
                <w:sz w:val="22"/>
                <w:szCs w:val="22"/>
                <w:color w:val="008000"/>
                <w:w w:val="91"/>
                <w:vertAlign w:val="superscript"/>
              </w:rPr>
              <w:t>(2)(3)</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Robin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 Rose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195,312</w:t>
            </w:r>
            <w:r>
              <w:rPr>
                <w:rFonts w:ascii="Times New Roman" w:cs="Times New Roman" w:eastAsia="Times New Roman" w:hAnsi="Times New Roman"/>
                <w:sz w:val="22"/>
                <w:szCs w:val="22"/>
                <w:color w:val="008000"/>
                <w:w w:val="93"/>
                <w:vertAlign w:val="superscript"/>
              </w:rPr>
              <w:t>(4)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Mckenzie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20" w:type="dxa"/>
            <w:vAlign w:val="bottom"/>
            <w:vMerge w:val="continue"/>
          </w:tcPr>
          <w:p>
            <w:pPr>
              <w:spacing w:after="0"/>
              <w:rPr>
                <w:sz w:val="15"/>
                <w:szCs w:val="15"/>
                <w:color w:val="auto"/>
              </w:rPr>
            </w:pPr>
          </w:p>
        </w:tc>
        <w:tc>
          <w:tcPr>
            <w:tcW w:w="17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Hulls 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Held 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3"/>
              </w:rPr>
              <w:t>1,846</w:t>
            </w:r>
            <w:r>
              <w:rPr>
                <w:rFonts w:ascii="Times New Roman" w:cs="Times New Roman" w:eastAsia="Times New Roman" w:hAnsi="Times New Roman"/>
                <w:sz w:val="22"/>
                <w:szCs w:val="22"/>
                <w:color w:val="008000"/>
                <w:w w:val="93"/>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ICCA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Labs, LLC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shares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125,435 restricted stock units previously granted,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585,938 CDIs, which remain subject to a lock-up agreement.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8,219 shares of the Issuer's common stock. The number of shares held as reported herein by the Reporting</w:t>
      </w:r>
    </w:p>
    <w:p>
      <w:pPr>
        <w:sectPr>
          <w:pgSz w:w="11900" w:h="16854"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Person represents his proportionate ownership interest in ICCA Labs, LLC.</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06/09/2025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2498"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2025-06-09T19:13:57Z</dcterms:created>
  <dcterms:modified xsi:type="dcterms:W3CDTF">2025-06-09T19:13:57Z</dcterms:modified>
</cp:coreProperties>
</file>