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79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81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08/26/2025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819"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gridSpan w:val="3"/>
          </w:tcPr>
          <w:p>
            <w:pPr>
              <w:ind w:left="420"/>
              <w:spacing w:after="0"/>
              <w:rPr>
                <w:sz w:val="20"/>
                <w:szCs w:val="20"/>
                <w:color w:val="auto"/>
              </w:rPr>
            </w:pPr>
            <w:r>
              <w:rPr>
                <w:rFonts w:ascii="Arial" w:cs="Arial" w:eastAsia="Arial" w:hAnsi="Arial"/>
                <w:sz w:val="13"/>
                <w:szCs w:val="13"/>
                <w:color w:val="auto"/>
                <w:w w:val="96"/>
              </w:rPr>
              <w:t>Line)</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94403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w w:val="96"/>
              </w:rPr>
              <w:t>the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Russell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17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0000FF"/>
              </w:rPr>
              <w:t>08/26/2025</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16,287</w:t>
            </w:r>
          </w:p>
        </w:tc>
        <w:tc>
          <w:tcPr>
            <w:tcW w:w="4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ind w:left="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90.42</w:t>
            </w:r>
            <w:r>
              <w:rPr>
                <w:rFonts w:ascii="Times New Roman" w:cs="Times New Roman" w:eastAsia="Times New Roman" w:hAnsi="Times New Roman"/>
                <w:sz w:val="22"/>
                <w:szCs w:val="22"/>
                <w:color w:val="008000"/>
                <w:vertAlign w:val="superscript"/>
              </w:rPr>
              <w:t>(1)</w:t>
            </w:r>
          </w:p>
        </w:tc>
        <w:tc>
          <w:tcPr>
            <w:tcW w:w="1200" w:type="dxa"/>
            <w:vAlign w:val="bottom"/>
            <w:gridSpan w:val="2"/>
          </w:tcPr>
          <w:p>
            <w:pPr>
              <w:jc w:val="center"/>
              <w:ind w:right="240"/>
              <w:spacing w:after="0" w:line="213" w:lineRule="exact"/>
              <w:rPr>
                <w:sz w:val="20"/>
                <w:szCs w:val="20"/>
                <w:color w:val="auto"/>
              </w:rPr>
            </w:pPr>
            <w:r>
              <w:rPr>
                <w:rFonts w:ascii="Times New Roman" w:cs="Times New Roman" w:eastAsia="Times New Roman" w:hAnsi="Times New Roman"/>
                <w:sz w:val="17"/>
                <w:szCs w:val="17"/>
                <w:color w:val="0000FF"/>
              </w:rPr>
              <w:t>63,030</w:t>
            </w:r>
            <w:r>
              <w:rPr>
                <w:rFonts w:ascii="Times New Roman" w:cs="Times New Roman" w:eastAsia="Times New Roman" w:hAnsi="Times New Roman"/>
                <w:sz w:val="22"/>
                <w:szCs w:val="22"/>
                <w:color w:val="008000"/>
                <w:vertAlign w:val="superscript"/>
              </w:rPr>
              <w:t>(2)</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Burke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rPr>
              <w:t>111,231</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2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$90.07 to $90.72,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79,317 directly held shares to the Russell John Burke Revocable Trust, which transfer was exempt from Section 16 pursuant to Rule 16a-13 under the Securities Exchange Act of 1934, as amended.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111,231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08/28/2025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2025-08-28T21:00:08Z</dcterms:created>
  <dcterms:modified xsi:type="dcterms:W3CDTF">2025-08-28T21:00:08Z</dcterms:modified>
</cp:coreProperties>
</file>