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55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5547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Held 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Russell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Burke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J</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45,000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18"/>
                <w:szCs w:val="18"/>
                <w:color w:val="auto"/>
              </w:rPr>
            </w:pPr>
          </w:p>
        </w:tc>
        <w:tc>
          <w:tcPr>
            <w:tcW w:w="860" w:type="dxa"/>
            <w:vAlign w:val="bottom"/>
            <w:gridSpan w:val="2"/>
            <w:vMerge w:val="restart"/>
          </w:tcPr>
          <w:p>
            <w:pPr>
              <w:jc w:val="center"/>
              <w:ind w:left="91"/>
              <w:spacing w:after="0"/>
              <w:rPr>
                <w:sz w:val="20"/>
                <w:szCs w:val="20"/>
                <w:color w:val="auto"/>
              </w:rPr>
            </w:pPr>
            <w:r>
              <w:rPr>
                <w:rFonts w:ascii="Times New Roman" w:cs="Times New Roman" w:eastAsia="Times New Roman" w:hAnsi="Times New Roman"/>
                <w:sz w:val="17"/>
                <w:szCs w:val="17"/>
                <w:color w:val="0000FF"/>
                <w:w w:val="97"/>
              </w:rPr>
              <w:t>68,361</w:t>
            </w:r>
            <w:r>
              <w:rPr>
                <w:rFonts w:ascii="Times New Roman" w:cs="Times New Roman" w:eastAsia="Times New Roman" w:hAnsi="Times New Roman"/>
                <w:sz w:val="22"/>
                <w:szCs w:val="22"/>
                <w:color w:val="008000"/>
                <w:w w:val="97"/>
                <w:vertAlign w:val="superscript"/>
              </w:rPr>
              <w:t>(1)</w:t>
            </w:r>
          </w:p>
        </w:tc>
        <w:tc>
          <w:tcPr>
            <w:tcW w:w="900" w:type="dxa"/>
            <w:vAlign w:val="bottom"/>
            <w:vMerge w:val="restart"/>
          </w:tcPr>
          <w:p>
            <w:pPr>
              <w:jc w:val="center"/>
              <w:ind w:left="354"/>
              <w:spacing w:after="0"/>
              <w:rPr>
                <w:sz w:val="20"/>
                <w:szCs w:val="20"/>
                <w:color w:val="auto"/>
              </w:rPr>
            </w:pPr>
            <w:r>
              <w:rPr>
                <w:rFonts w:ascii="Times New Roman" w:cs="Times New Roman" w:eastAsia="Times New Roman" w:hAnsi="Times New Roman"/>
                <w:sz w:val="16"/>
                <w:szCs w:val="16"/>
                <w:color w:val="0000FF"/>
                <w:w w:val="74"/>
              </w:rPr>
              <w:t>I</w:t>
            </w: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 &amp;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Jeanette 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Calandra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 ELD as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TIC</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91"/>
              <w:spacing w:after="0"/>
              <w:rPr>
                <w:sz w:val="20"/>
                <w:szCs w:val="20"/>
                <w:color w:val="auto"/>
              </w:rPr>
            </w:pPr>
            <w:r>
              <w:rPr>
                <w:rFonts w:ascii="Times New Roman" w:cs="Times New Roman" w:eastAsia="Times New Roman" w:hAnsi="Times New Roman"/>
                <w:sz w:val="17"/>
                <w:szCs w:val="17"/>
                <w:color w:val="0000FF"/>
                <w:w w:val="96"/>
              </w:rPr>
              <w:t>115,974</w:t>
            </w:r>
            <w:r>
              <w:rPr>
                <w:rFonts w:ascii="Times New Roman" w:cs="Times New Roman" w:eastAsia="Times New Roman" w:hAnsi="Times New Roman"/>
                <w:sz w:val="22"/>
                <w:szCs w:val="22"/>
                <w:color w:val="008000"/>
                <w:w w:val="96"/>
                <w:vertAlign w:val="superscript"/>
              </w:rPr>
              <w:t>(2)</w:t>
            </w:r>
          </w:p>
        </w:tc>
        <w:tc>
          <w:tcPr>
            <w:tcW w:w="900" w:type="dxa"/>
            <w:vAlign w:val="bottom"/>
            <w:tcBorders>
              <w:bottom w:val="single" w:sz="8" w:color="2C2C2C"/>
            </w:tcBorders>
          </w:tcPr>
          <w:p>
            <w:pPr>
              <w:jc w:val="center"/>
              <w:ind w:left="35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JEANETTE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CALANDRA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left="91"/>
              <w:spacing w:after="0" w:line="213" w:lineRule="exact"/>
              <w:rPr>
                <w:sz w:val="20"/>
                <w:szCs w:val="20"/>
                <w:color w:val="auto"/>
              </w:rPr>
            </w:pPr>
            <w:r>
              <w:rPr>
                <w:rFonts w:ascii="Times New Roman" w:cs="Times New Roman" w:eastAsia="Times New Roman" w:hAnsi="Times New Roman"/>
                <w:sz w:val="17"/>
                <w:szCs w:val="17"/>
                <w:color w:val="0000FF"/>
                <w:w w:val="97"/>
              </w:rPr>
              <w:t>15,000</w:t>
            </w:r>
            <w:r>
              <w:rPr>
                <w:rFonts w:ascii="Times New Roman" w:cs="Times New Roman" w:eastAsia="Times New Roman" w:hAnsi="Times New Roman"/>
                <w:sz w:val="22"/>
                <w:szCs w:val="22"/>
                <w:color w:val="008000"/>
                <w:w w:val="97"/>
                <w:vertAlign w:val="superscript"/>
              </w:rPr>
              <w:t>(1)</w:t>
            </w:r>
          </w:p>
        </w:tc>
        <w:tc>
          <w:tcPr>
            <w:tcW w:w="900" w:type="dxa"/>
            <w:vAlign w:val="bottom"/>
          </w:tcPr>
          <w:p>
            <w:pPr>
              <w:jc w:val="center"/>
              <w:ind w:left="354"/>
              <w:spacing w:after="0"/>
              <w:rPr>
                <w:sz w:val="20"/>
                <w:szCs w:val="20"/>
                <w:color w:val="auto"/>
              </w:rPr>
            </w:pPr>
            <w:r>
              <w:rPr>
                <w:rFonts w:ascii="Times New Roman" w:cs="Times New Roman" w:eastAsia="Times New Roman" w:hAnsi="Times New Roman"/>
                <w:sz w:val="16"/>
                <w:szCs w:val="16"/>
                <w:color w:val="0000FF"/>
                <w:w w:val="74"/>
              </w:rPr>
              <w:t>I</w:t>
            </w: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TTEE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DIANELLA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JEANETTE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CALANDRA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left="91"/>
              <w:spacing w:after="0" w:line="213" w:lineRule="exact"/>
              <w:rPr>
                <w:sz w:val="20"/>
                <w:szCs w:val="20"/>
                <w:color w:val="auto"/>
              </w:rPr>
            </w:pPr>
            <w:r>
              <w:rPr>
                <w:rFonts w:ascii="Times New Roman" w:cs="Times New Roman" w:eastAsia="Times New Roman" w:hAnsi="Times New Roman"/>
                <w:sz w:val="17"/>
                <w:szCs w:val="17"/>
                <w:color w:val="0000FF"/>
                <w:w w:val="97"/>
              </w:rPr>
              <w:t>15,000</w:t>
            </w:r>
            <w:r>
              <w:rPr>
                <w:rFonts w:ascii="Times New Roman" w:cs="Times New Roman" w:eastAsia="Times New Roman" w:hAnsi="Times New Roman"/>
                <w:sz w:val="22"/>
                <w:szCs w:val="22"/>
                <w:color w:val="008000"/>
                <w:w w:val="97"/>
                <w:vertAlign w:val="superscript"/>
              </w:rPr>
              <w:t>(1)</w:t>
            </w:r>
          </w:p>
        </w:tc>
        <w:tc>
          <w:tcPr>
            <w:tcW w:w="900" w:type="dxa"/>
            <w:vAlign w:val="bottom"/>
          </w:tcPr>
          <w:p>
            <w:pPr>
              <w:jc w:val="center"/>
              <w:ind w:left="354"/>
              <w:spacing w:after="0"/>
              <w:rPr>
                <w:sz w:val="20"/>
                <w:szCs w:val="20"/>
                <w:color w:val="auto"/>
              </w:rPr>
            </w:pPr>
            <w:r>
              <w:rPr>
                <w:rFonts w:ascii="Times New Roman" w:cs="Times New Roman" w:eastAsia="Times New Roman" w:hAnsi="Times New Roman"/>
                <w:sz w:val="16"/>
                <w:szCs w:val="16"/>
                <w:color w:val="0000FF"/>
                <w:w w:val="74"/>
              </w:rPr>
              <w:t>I</w:t>
            </w: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TTEE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WARATAH</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JEANETTE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CALANDRA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ind w:left="91"/>
              <w:spacing w:after="0" w:line="213" w:lineRule="exact"/>
              <w:rPr>
                <w:sz w:val="20"/>
                <w:szCs w:val="20"/>
                <w:color w:val="auto"/>
              </w:rPr>
            </w:pPr>
            <w:r>
              <w:rPr>
                <w:rFonts w:ascii="Times New Roman" w:cs="Times New Roman" w:eastAsia="Times New Roman" w:hAnsi="Times New Roman"/>
                <w:sz w:val="17"/>
                <w:szCs w:val="17"/>
                <w:color w:val="0000FF"/>
                <w:w w:val="97"/>
              </w:rPr>
              <w:t>15,000</w:t>
            </w:r>
            <w:r>
              <w:rPr>
                <w:rFonts w:ascii="Times New Roman" w:cs="Times New Roman" w:eastAsia="Times New Roman" w:hAnsi="Times New Roman"/>
                <w:sz w:val="22"/>
                <w:szCs w:val="22"/>
                <w:color w:val="008000"/>
                <w:w w:val="97"/>
                <w:vertAlign w:val="superscript"/>
              </w:rPr>
              <w:t>(1)</w:t>
            </w:r>
          </w:p>
        </w:tc>
        <w:tc>
          <w:tcPr>
            <w:tcW w:w="900" w:type="dxa"/>
            <w:vAlign w:val="bottom"/>
          </w:tcPr>
          <w:p>
            <w:pPr>
              <w:jc w:val="center"/>
              <w:ind w:left="354"/>
              <w:spacing w:after="0"/>
              <w:rPr>
                <w:sz w:val="20"/>
                <w:szCs w:val="20"/>
                <w:color w:val="auto"/>
              </w:rPr>
            </w:pPr>
            <w:r>
              <w:rPr>
                <w:rFonts w:ascii="Times New Roman" w:cs="Times New Roman" w:eastAsia="Times New Roman" w:hAnsi="Times New Roman"/>
                <w:sz w:val="16"/>
                <w:szCs w:val="16"/>
                <w:color w:val="0000FF"/>
                <w:w w:val="74"/>
              </w:rPr>
              <w:t>I</w:t>
            </w: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TTEE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JACARANDA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4"/>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15,000 indirectly held shares to each of (i) Jeanette Calandra TTEE The Jacaranda Trust, (ii) Jeanette Calandra TTEE The Waratah Trust, and (iii) Jeanette Calandra TTEE The Dianella Trust (45,000 shares in the aggregate), which transfers were exempt from Section 16 pursuant to Rule 16a-13 under the Securities Exchange Act of 1934, as amended. The Reporting Person retains indirect beneficial ownership of all transferred shares.</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106,291 restricted stock units previously granted, each of which represents a contingent right to receive one share of the Issuer's common stock upon vesting.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2026-06-16T15:11:39Z</dcterms:created>
  <dcterms:modified xsi:type="dcterms:W3CDTF">2026-06-16T15:11:39Z</dcterms:modified>
</cp:coreProperties>
</file>