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333-279271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to Prospectus dated May 9, 2024.</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5,750,000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27940</wp:posOffset>
            </wp:positionV>
            <wp:extent cx="221996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Common Stoc</w:t>
      </w:r>
      <w:r>
        <w:rPr>
          <w:rFonts w:ascii="Times New Roman" w:cs="Times New Roman" w:eastAsia="Times New Roman" w:hAnsi="Times New Roman"/>
          <w:sz w:val="32"/>
          <w:szCs w:val="32"/>
          <w:b w:val="1"/>
          <w:bCs w:val="1"/>
          <w:color w:val="auto"/>
        </w:rPr>
        <w:t>k</w:t>
      </w:r>
    </w:p>
    <w:p>
      <w:pPr>
        <w:spacing w:after="0" w:line="14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an initial public offering in the United States of shares of common stock of Life360, Inc. We are offering 3,703,704 shares of common stock and the selling securityholders identified in this prospectus supplement are offering an additional 2,046,296 shares of common stock. We will not receive any proceeds from the sale of shares by the selling securityholders.</w:t>
      </w:r>
    </w:p>
    <w:p>
      <w:pPr>
        <w:spacing w:after="0" w:line="108"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Prior to this offering, there has been no public market for our common stock in the United States. Our common stock trades on the Australian Securities Exchange (the “ASX”) under the symbol “360” in the form of CHESS Depositary Interests (“CDIs”). CDIs are units of beneficial ownership in shares of our common stock that are held in trust for CDI holders by CHESS Depositary Nominees Pty Limited (“CDN”), a subsidiary of ASX Limited, the company that operates the ASX. The CDIs entitle holders to dividends, if any, and other rights equivalent to shares of our common stock on a 3 CDIs-for-1 share of common stock basis. The last reported sale price of our CDIs on the ASX on June 5, 2024 (Australian Eastern Standard Time) was A$14.69 per CDI (equivalent to $29.26 per share of common stock, using an exchange rate of $0.6640 to convert Australian dollars to U.S. dollars as of May 31, 2024, as published by the Federal Reserve). The initial public offering price for our common stock will be determined through negotiations between us and the underwriters for this offering and will be based on the trading price of our ordinary shares on the ASX prior to the pricing of this offering, as well as prevailing market conditions and other factors described in the “Underwriting” section beginning on page </w:t>
      </w:r>
      <w:r>
        <w:rPr>
          <w:rFonts w:ascii="Times New Roman" w:cs="Times New Roman" w:eastAsia="Times New Roman" w:hAnsi="Times New Roman"/>
          <w:sz w:val="18"/>
          <w:szCs w:val="18"/>
          <w:u w:val="single" w:color="auto"/>
          <w:color w:val="0000FF"/>
        </w:rPr>
        <w:t>S-47</w:t>
      </w:r>
      <w:r>
        <w:rPr>
          <w:rFonts w:ascii="Times New Roman" w:cs="Times New Roman" w:eastAsia="Times New Roman" w:hAnsi="Times New Roman"/>
          <w:sz w:val="18"/>
          <w:szCs w:val="18"/>
          <w:color w:val="auto"/>
        </w:rPr>
        <w:t xml:space="preserve"> of this prospectus supplement. In addition to the CDIs trading on the ASX, our common stock is listed on the Nasdaq Global Select Market under the symbol “LIF”.</w:t>
      </w:r>
    </w:p>
    <w:p>
      <w:pPr>
        <w:spacing w:after="0" w:line="149"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See the section titled “Risk Factors” beginning on page </w:t>
      </w:r>
      <w:r>
        <w:rPr>
          <w:rFonts w:ascii="Times New Roman" w:cs="Times New Roman" w:eastAsia="Times New Roman" w:hAnsi="Times New Roman"/>
          <w:sz w:val="18"/>
          <w:szCs w:val="18"/>
          <w:i w:val="1"/>
          <w:iCs w:val="1"/>
          <w:u w:val="single" w:color="auto"/>
          <w:color w:val="0000FF"/>
        </w:rPr>
        <w:t>S-23</w:t>
      </w:r>
      <w:r>
        <w:rPr>
          <w:rFonts w:ascii="Times New Roman" w:cs="Times New Roman" w:eastAsia="Times New Roman" w:hAnsi="Times New Roman"/>
          <w:sz w:val="18"/>
          <w:szCs w:val="18"/>
          <w:i w:val="1"/>
          <w:iCs w:val="1"/>
          <w:color w:val="auto"/>
        </w:rPr>
        <w:t xml:space="preserve"> of this prospectus supplement and page </w:t>
      </w:r>
      <w:r>
        <w:rPr>
          <w:rFonts w:ascii="Times New Roman" w:cs="Times New Roman" w:eastAsia="Times New Roman" w:hAnsi="Times New Roman"/>
          <w:sz w:val="18"/>
          <w:szCs w:val="18"/>
          <w:i w:val="1"/>
          <w:iCs w:val="1"/>
          <w:u w:val="single" w:color="auto"/>
          <w:color w:val="0000FF"/>
        </w:rPr>
        <w:t>25</w:t>
      </w:r>
      <w:r>
        <w:rPr>
          <w:rFonts w:ascii="Times New Roman" w:cs="Times New Roman" w:eastAsia="Times New Roman" w:hAnsi="Times New Roman"/>
          <w:sz w:val="18"/>
          <w:szCs w:val="18"/>
          <w:i w:val="1"/>
          <w:iCs w:val="1"/>
          <w:color w:val="auto"/>
        </w:rPr>
        <w:t xml:space="preserve"> of our prospectus and under similar headings in any filing with the Securities and Exchange Commission that is incorporated by reference herein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37465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26670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155,250,000</w:t>
            </w:r>
          </w:p>
        </w:tc>
        <w:tc>
          <w:tcPr>
            <w:tcW w:w="0" w:type="dxa"/>
            <w:vAlign w:val="bottom"/>
          </w:tcPr>
          <w:p>
            <w:pPr>
              <w:spacing w:after="0"/>
              <w:rPr>
                <w:sz w:val="1"/>
                <w:szCs w:val="1"/>
                <w:color w:val="auto"/>
              </w:rPr>
            </w:pPr>
          </w:p>
        </w:tc>
      </w:tr>
      <w:tr>
        <w:trPr>
          <w:trHeight w:val="230"/>
        </w:trPr>
        <w:tc>
          <w:tcPr>
            <w:tcW w:w="8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10,867,500</w:t>
            </w:r>
          </w:p>
        </w:tc>
        <w:tc>
          <w:tcPr>
            <w:tcW w:w="0" w:type="dxa"/>
            <w:vAlign w:val="bottom"/>
          </w:tcPr>
          <w:p>
            <w:pPr>
              <w:spacing w:after="0"/>
              <w:rPr>
                <w:sz w:val="1"/>
                <w:szCs w:val="1"/>
                <w:color w:val="auto"/>
              </w:rPr>
            </w:pPr>
          </w:p>
        </w:tc>
      </w:tr>
      <w:tr>
        <w:trPr>
          <w:trHeight w:val="229"/>
        </w:trPr>
        <w:tc>
          <w:tcPr>
            <w:tcW w:w="8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93,000,007</w:t>
            </w:r>
          </w:p>
        </w:tc>
        <w:tc>
          <w:tcPr>
            <w:tcW w:w="0" w:type="dxa"/>
            <w:vAlign w:val="bottom"/>
          </w:tcPr>
          <w:p>
            <w:pPr>
              <w:spacing w:after="0"/>
              <w:rPr>
                <w:sz w:val="1"/>
                <w:szCs w:val="1"/>
                <w:color w:val="auto"/>
              </w:rPr>
            </w:pPr>
          </w:p>
        </w:tc>
      </w:tr>
      <w:tr>
        <w:trPr>
          <w:trHeight w:val="30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securityholders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51,382,493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4"/>
          <w:szCs w:val="24"/>
          <w:color w:val="auto"/>
        </w:rPr>
      </w:pPr>
    </w:p>
    <w:p>
      <w:pPr>
        <w:ind w:left="340" w:hanging="332"/>
        <w:spacing w:after="0" w:line="283"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pay the selling securityholders for certain of their expenses in connection with this offering, including all underwriting discounts and commissions applicable to the sale of shares of common stock by the selling securityholders. See the section titled “Underwriting” for additional information regarding compensation payable to the underwriters.</w:t>
      </w:r>
    </w:p>
    <w:p>
      <w:pPr>
        <w:spacing w:after="0" w:line="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selling securityholders have granted the underwriters an option to purchase up to an additional 862,500 shares of our common stock, exercisable within a 30-day period, at the initial public offering price, less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28575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 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0" w:lineRule="exact"/>
        <w:rPr>
          <w:sz w:val="24"/>
          <w:szCs w:val="24"/>
          <w:color w:val="auto"/>
        </w:rPr>
      </w:pPr>
    </w:p>
    <w:p>
      <w:pPr>
        <w:ind w:left="40"/>
        <w:spacing w:after="0"/>
        <w:tabs>
          <w:tab w:leader="none" w:pos="5100" w:val="left"/>
          <w:tab w:leader="none" w:pos="8120" w:val="left"/>
        </w:tabs>
        <w:rPr>
          <w:sz w:val="20"/>
          <w:szCs w:val="20"/>
          <w:color w:val="auto"/>
        </w:rPr>
      </w:pPr>
      <w:r>
        <w:rPr>
          <w:rFonts w:ascii="Times New Roman" w:cs="Times New Roman" w:eastAsia="Times New Roman" w:hAnsi="Times New Roman"/>
          <w:sz w:val="32"/>
          <w:szCs w:val="32"/>
          <w:b w:val="1"/>
          <w:bCs w:val="1"/>
          <w:color w:val="auto"/>
        </w:rPr>
        <w:t>Goldman Sachs &amp; Co. LLC</w:t>
      </w:r>
      <w:r>
        <w:rPr>
          <w:sz w:val="20"/>
          <w:szCs w:val="20"/>
          <w:color w:val="auto"/>
        </w:rPr>
        <w:tab/>
      </w:r>
      <w:r>
        <w:rPr>
          <w:rFonts w:ascii="Times New Roman" w:cs="Times New Roman" w:eastAsia="Times New Roman" w:hAnsi="Times New Roman"/>
          <w:sz w:val="32"/>
          <w:szCs w:val="32"/>
          <w:b w:val="1"/>
          <w:bCs w:val="1"/>
          <w:color w:val="auto"/>
        </w:rPr>
        <w:t>Evercore ISI</w:t>
      </w:r>
      <w:r>
        <w:rPr>
          <w:sz w:val="20"/>
          <w:szCs w:val="20"/>
          <w:color w:val="auto"/>
        </w:rPr>
        <w:tab/>
      </w:r>
      <w:r>
        <w:rPr>
          <w:rFonts w:ascii="Times New Roman" w:cs="Times New Roman" w:eastAsia="Times New Roman" w:hAnsi="Times New Roman"/>
          <w:sz w:val="32"/>
          <w:szCs w:val="32"/>
          <w:b w:val="1"/>
          <w:bCs w:val="1"/>
          <w:color w:val="auto"/>
        </w:rPr>
        <w:t>UBS Investment Bank</w:t>
      </w:r>
    </w:p>
    <w:p>
      <w:pPr>
        <w:spacing w:after="0" w:line="1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Stifel</w:t>
      </w:r>
    </w:p>
    <w:p>
      <w:pPr>
        <w:spacing w:after="0" w:line="202" w:lineRule="exact"/>
        <w:rPr>
          <w:sz w:val="24"/>
          <w:szCs w:val="24"/>
          <w:color w:val="auto"/>
        </w:rPr>
      </w:pPr>
    </w:p>
    <w:p>
      <w:pPr>
        <w:ind w:left="20"/>
        <w:spacing w:after="0"/>
        <w:tabs>
          <w:tab w:leader="none" w:pos="4720" w:val="left"/>
          <w:tab w:leader="none" w:pos="8800" w:val="left"/>
        </w:tabs>
        <w:rPr>
          <w:sz w:val="20"/>
          <w:szCs w:val="20"/>
          <w:color w:val="auto"/>
        </w:rPr>
      </w:pPr>
      <w:r>
        <w:rPr>
          <w:rFonts w:ascii="Times New Roman" w:cs="Times New Roman" w:eastAsia="Times New Roman" w:hAnsi="Times New Roman"/>
          <w:sz w:val="25"/>
          <w:szCs w:val="25"/>
          <w:b w:val="1"/>
          <w:bCs w:val="1"/>
          <w:color w:val="auto"/>
        </w:rPr>
        <w:t>Canaccord Genuity</w:t>
      </w:r>
      <w:r>
        <w:rPr>
          <w:sz w:val="20"/>
          <w:szCs w:val="20"/>
          <w:color w:val="auto"/>
        </w:rPr>
        <w:tab/>
      </w:r>
      <w:r>
        <w:rPr>
          <w:rFonts w:ascii="Times New Roman" w:cs="Times New Roman" w:eastAsia="Times New Roman" w:hAnsi="Times New Roman"/>
          <w:sz w:val="25"/>
          <w:szCs w:val="25"/>
          <w:b w:val="1"/>
          <w:bCs w:val="1"/>
          <w:color w:val="auto"/>
        </w:rPr>
        <w:t>Citizens JMP</w:t>
      </w:r>
      <w:r>
        <w:rPr>
          <w:sz w:val="20"/>
          <w:szCs w:val="20"/>
          <w:color w:val="auto"/>
        </w:rPr>
        <w:tab/>
      </w:r>
      <w:r>
        <w:rPr>
          <w:rFonts w:ascii="Times New Roman" w:cs="Times New Roman" w:eastAsia="Times New Roman" w:hAnsi="Times New Roman"/>
          <w:sz w:val="25"/>
          <w:szCs w:val="25"/>
          <w:b w:val="1"/>
          <w:bCs w:val="1"/>
          <w:color w:val="auto"/>
        </w:rPr>
        <w:t>Loop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144145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Prospectus Supplement dated June 6, 2024.</w:t>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ABOUT THIS PROSPECTUS SUPPLEMENT</w:t>
            </w:r>
          </w:p>
        </w:tc>
        <w:tc>
          <w:tcPr>
            <w:tcW w:w="646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5"/>
              </w:rPr>
              <w:t>S-i</w:t>
            </w:r>
          </w:p>
        </w:tc>
      </w:tr>
      <w:tr>
        <w:trPr>
          <w:trHeight w:val="210"/>
        </w:trPr>
        <w:tc>
          <w:tcPr>
            <w:tcW w:w="3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6600" w:type="dxa"/>
            <w:vAlign w:val="bottom"/>
            <w:gridSpan w:val="10"/>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7"/>
              </w:rPr>
              <w:t>S-1</w:t>
            </w: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640" w:type="dxa"/>
            <w:vAlign w:val="bottom"/>
            <w:gridSpan w:val="22"/>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S-23</w:t>
            </w:r>
          </w:p>
        </w:tc>
      </w:tr>
      <w:tr>
        <w:trPr>
          <w:trHeight w:val="209"/>
        </w:trPr>
        <w:tc>
          <w:tcPr>
            <w:tcW w:w="5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560" w:type="dxa"/>
            <w:vAlign w:val="bottom"/>
            <w:gridSpan w:val="3"/>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S-28</w:t>
            </w:r>
          </w:p>
        </w:tc>
      </w:tr>
      <w:tr>
        <w:trPr>
          <w:trHeight w:val="209"/>
        </w:trPr>
        <w:tc>
          <w:tcPr>
            <w:tcW w:w="3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MARKET, INDUSTRY AND OTHER DATA</w:t>
            </w:r>
          </w:p>
        </w:tc>
        <w:tc>
          <w:tcPr>
            <w:tcW w:w="6560" w:type="dxa"/>
            <w:vAlign w:val="bottom"/>
            <w:gridSpan w:val="9"/>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S-30</w:t>
            </w:r>
          </w:p>
        </w:tc>
      </w:tr>
      <w:tr>
        <w:trPr>
          <w:trHeight w:val="210"/>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8300" w:type="dxa"/>
            <w:vAlign w:val="bottom"/>
            <w:gridSpan w:val="18"/>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S-31</w:t>
            </w:r>
          </w:p>
        </w:tc>
      </w:tr>
      <w:tr>
        <w:trPr>
          <w:trHeight w:val="209"/>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S-32</w:t>
            </w:r>
          </w:p>
        </w:tc>
      </w:tr>
      <w:tr>
        <w:trPr>
          <w:trHeight w:val="210"/>
        </w:trPr>
        <w:tc>
          <w:tcPr>
            <w:tcW w:w="1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8320" w:type="dxa"/>
            <w:vAlign w:val="bottom"/>
            <w:gridSpan w:val="19"/>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AND SELLING SECURITYHOLDERS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S-35</w:t>
            </w:r>
          </w:p>
        </w:tc>
      </w:tr>
      <w:tr>
        <w:trPr>
          <w:trHeight w:val="210"/>
        </w:trPr>
        <w:tc>
          <w:tcPr>
            <w:tcW w:w="28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1020" w:type="dxa"/>
            <w:vAlign w:val="bottom"/>
            <w:tcBorders>
              <w:top w:val="single" w:sz="8" w:color="0000FF"/>
            </w:tcBorders>
            <w:gridSpan w:val="6"/>
          </w:tcPr>
          <w:p>
            <w:pPr>
              <w:spacing w:after="0"/>
              <w:rPr>
                <w:sz w:val="18"/>
                <w:szCs w:val="18"/>
                <w:color w:val="auto"/>
              </w:rPr>
            </w:pPr>
          </w:p>
        </w:tc>
        <w:tc>
          <w:tcPr>
            <w:tcW w:w="6000" w:type="dxa"/>
            <w:vAlign w:val="bottom"/>
            <w:gridSpan w:val="7"/>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top w:val="single" w:sz="8" w:color="0000FF"/>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S-38</w:t>
            </w:r>
          </w:p>
        </w:tc>
      </w:tr>
      <w:tr>
        <w:trPr>
          <w:trHeight w:val="209"/>
        </w:trPr>
        <w:tc>
          <w:tcPr>
            <w:tcW w:w="89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S-43</w:t>
            </w:r>
          </w:p>
        </w:tc>
      </w:tr>
      <w:tr>
        <w:trPr>
          <w:trHeight w:val="210"/>
        </w:trPr>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8500" w:type="dxa"/>
            <w:vAlign w:val="bottom"/>
            <w:gridSpan w:val="21"/>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S-47</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S-55</w:t>
            </w: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440" w:type="dxa"/>
            <w:vAlign w:val="bottom"/>
            <w:gridSpan w:val="20"/>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top w:val="single" w:sz="8" w:color="0000FF"/>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S-55</w:t>
            </w:r>
          </w:p>
        </w:tc>
      </w:tr>
      <w:tr>
        <w:trPr>
          <w:trHeight w:val="209"/>
        </w:trPr>
        <w:tc>
          <w:tcPr>
            <w:tcW w:w="4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460" w:type="dxa"/>
            <w:vAlign w:val="bottom"/>
            <w:gridSpan w:val="5"/>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S-55</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S-55</w:t>
            </w:r>
          </w:p>
        </w:tc>
      </w:tr>
      <w:tr>
        <w:trPr>
          <w:trHeight w:val="493"/>
        </w:trPr>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720" w:type="dxa"/>
            <w:vAlign w:val="bottom"/>
            <w:gridSpan w:val="4"/>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9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8"/>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7660" w:type="dxa"/>
            <w:vAlign w:val="bottom"/>
            <w:gridSpan w:val="16"/>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10"/>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PROSPECTUS SUMMARY</w:t>
            </w:r>
          </w:p>
        </w:tc>
        <w:tc>
          <w:tcPr>
            <w:tcW w:w="7800" w:type="dxa"/>
            <w:vAlign w:val="bottom"/>
            <w:gridSpan w:val="17"/>
          </w:tcPr>
          <w:p>
            <w:pPr>
              <w:spacing w:after="0"/>
              <w:rPr>
                <w:sz w:val="18"/>
                <w:szCs w:val="18"/>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5"/>
          </w:tcPr>
          <w:p>
            <w:pPr>
              <w:spacing w:after="0"/>
              <w:rPr>
                <w:sz w:val="18"/>
                <w:szCs w:val="18"/>
                <w:color w:val="auto"/>
              </w:rPr>
            </w:pPr>
          </w:p>
        </w:tc>
        <w:tc>
          <w:tcPr>
            <w:tcW w:w="7800" w:type="dxa"/>
            <w:vAlign w:val="bottom"/>
            <w:gridSpan w:val="17"/>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10"/>
        </w:trPr>
        <w:tc>
          <w:tcPr>
            <w:tcW w:w="5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560" w:type="dxa"/>
            <w:vAlign w:val="bottom"/>
            <w:gridSpan w:val="3"/>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10"/>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8300" w:type="dxa"/>
            <w:vAlign w:val="bottom"/>
            <w:gridSpan w:val="18"/>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10"/>
        </w:trPr>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020" w:type="dxa"/>
            <w:vAlign w:val="bottom"/>
            <w:gridSpan w:val="13"/>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3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DESCRIPTION OF DEBT SECURITIES</w:t>
            </w:r>
          </w:p>
        </w:tc>
        <w:tc>
          <w:tcPr>
            <w:tcW w:w="6860" w:type="dxa"/>
            <w:vAlign w:val="bottom"/>
            <w:gridSpan w:val="11"/>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OWNERSHIP OF SECURITIES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10"/>
        </w:trPr>
        <w:tc>
          <w:tcPr>
            <w:tcW w:w="30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SELLING SECURITYHOLDERS</w:t>
            </w:r>
          </w:p>
        </w:tc>
        <w:tc>
          <w:tcPr>
            <w:tcW w:w="6880" w:type="dxa"/>
            <w:vAlign w:val="bottom"/>
            <w:gridSpan w:val="12"/>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10"/>
        </w:trPr>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400" w:type="dxa"/>
            <w:vAlign w:val="bottom"/>
            <w:tcBorders>
              <w:top w:val="single" w:sz="8" w:color="0000FF"/>
            </w:tcBorders>
            <w:gridSpan w:val="3"/>
          </w:tcPr>
          <w:p>
            <w:pPr>
              <w:spacing w:after="0"/>
              <w:rPr>
                <w:sz w:val="18"/>
                <w:szCs w:val="18"/>
                <w:color w:val="auto"/>
              </w:rPr>
            </w:pPr>
          </w:p>
        </w:tc>
        <w:tc>
          <w:tcPr>
            <w:tcW w:w="7400" w:type="dxa"/>
            <w:vAlign w:val="bottom"/>
            <w:gridSpan w:val="14"/>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9"/>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440" w:type="dxa"/>
            <w:vAlign w:val="bottom"/>
            <w:gridSpan w:val="20"/>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4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460" w:type="dxa"/>
            <w:vAlign w:val="bottom"/>
            <w:gridSpan w:val="5"/>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90"/>
        </w:trPr>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bottom w:val="single" w:sz="8" w:color="auto"/>
            </w:tcBorders>
          </w:tcPr>
          <w:p>
            <w:pPr>
              <w:spacing w:after="0"/>
              <w:rPr>
                <w:sz w:val="24"/>
                <w:szCs w:val="24"/>
                <w:color w:val="auto"/>
              </w:rPr>
            </w:pPr>
          </w:p>
        </w:tc>
        <w:tc>
          <w:tcPr>
            <w:tcW w:w="740" w:type="dxa"/>
            <w:vAlign w:val="bottom"/>
            <w:tcBorders>
              <w:top w:val="single" w:sz="8" w:color="0000FF"/>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we, the selling securityholders, nor any of the underwriters have authorized anyone to provide you with any information or to make any representations other than those contained in this prospectus supplement or in any free writing prospectuses we have prepared. Neither we, the selling securityholders, nor any of the underwriters take any responsibility for, and can provide no assurance as to the reliability of, any other information that others may give you. We, the selling securityholders, and the underwriters are offering to sell, and seeking offers to buy, shares of our common stock only in jurisdictions where offers and sales are permitted. Our business, financial condition, results of operations, and future growth prospects may have changed since the date of this prospectus supplement.</w:t>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securityholders, nor any of the underwriters have done anything that would permit the use of or possession or distribution of this prospectus supplement in any jurisdiction where action for that purpose is required, other than in the United States. Persons outside of the United States who come into possession of this prospectus supplement must inform themselves about, and observe any restrictions relating to, the offering of the shares of our common stock and the distribution of this prospectus supplement outside of the United States.</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supplement, unless the context suggests otherwise, the terms:</w:t>
      </w:r>
    </w:p>
    <w:p>
      <w:pPr>
        <w:spacing w:after="0" w:line="171"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“Life360” and “Company” refer to Life360, Inc., a Delaware corporation, and its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“USD” refers to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“AUD” refers to Australian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refers to a member who opens the Life360 app after completing their registration;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“ANZ” refers, collectively, to Australia and New Zealand;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“ARPPC” refers to Average Revenue per Paying Circle.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ARPPS” refers to Average Revenue per Paying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“ASX” refers to ASX Limited (ABN: 98 008 624 691) or the financial market known as the Australian Securities Exchange operated by it (as appropriate);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refers to the amended and restated bylaws of Life360, Inc., as currently in effect;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“CDIs” refers to CHESS Depositary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“CDN” refers to CHESS Depositary Nominees Pty Limited;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refers to the amended and restated certificate of incorporation of Life360, Inc.,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“CHESS” refers to the Clearing House Electronic Subregister System;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refers to the U.S. Internal Revenue Code of 1986,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“DAUs” refers to daily active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the Delaware General Corporation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 refers to Sections 1471 through 1474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generally accepted accounting principles in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Internal Revenue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“Jabil” refers to Jabil Inc., a Delaware corporation;</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refers to Jio, Inc., a Delaware corporation and a wholly-owned subsidiary of Life360, Inc.;</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Platform” refers to the suite of Life360 offerings of products and services including the Life360 mobile application and related third-party services but excluding Tile and Jiobit offerings;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Service” refers to the suite of Life360 offerings of products and services including the Life360, Tile and Jiobit mobile applications and related third-party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refers to monthly active users of the Life360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users of the applicable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 refers to the Circles covered by a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refers to a restricted stock unit;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the holders of beneficial interest of shares of our common stock, including the shares of our common stock underlying our CDIs;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refers to a person who has purchased a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refers to a paid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 refers to global total addressable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 refers to Tile, Inc., a Delaware corporation and wholly-owned subsidiary of Life360, Inc.;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“United States” refers to the United States of America.</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2024, we filed with the SEC a registration statement on Form S-3 (File No. 333-279271) utilizing a shelf registration process relating to certain securities, including the securities described in this prospectus supplement, which registration statement became effective automatically upon filing. 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some of which may not be applicable to this offering of our common stock. Generally, when we refer to this prospectus supplement, we are referring to both parts combined. Before you invest, you should carefully read this prospectus supplement, the accompanying prospectus, all information incorporated by reference herein and therein, as well as the additional information described under “Where You Can Find Additional Information” and “Incorporation of Certain Information by Reference” in this prospectus supplement. These documents contain information you should consider when making your investment decision. This prospectus supplement may add, update or change information contained in the accompanying prospectus. To the extent that any statement in this prospectus supplement is inconsistent with statements made in the accompanying prospectus or any documents incorporated by reference, the statements made in this prospectus supplement will be deemed to modify or supersede those made in the accompanying prospectus and such documents incorporated by reference.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in any free writing prospectuses we authorize for use in connection with this offering. Neither we, the selling securityholders nor the underwriters have authorized any other person to provide you with any information that is different. If anyone provides you with different or inconsistent information, you should not rely on it. We and the selling securityholders are offering to sell, and seeking offers to buy, the securities offered hereby only in jurisdictions where offers and sales are permitted. The distribution of this prospectus supplement and the offering of the securities offered hereby in certain jurisdictions may be restricted by law. Persons outside the United States who come into possession of this prospectus supplement must inform themselves about, and observe any restrictions relating to, the offering of the securities offered hereby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will be filed or will be incorporated by reference as exhibits to the registration statement of which this prospectus supplement and the accompanying prospectus are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33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73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supplement or incorporated by reference in this prospectus supplement. This summary does not contain all of the information you should consider before investing in our common stock. You should carefully read this entire prospectus supplement, the accompanying prospectus and any related free writing prospectus that we authorize for use in connection with this offering, including the sections titled “Risk Factors” and “Special Note Regarding Forward-Looking Statements,” before making an investment decision. You should also carefully read the information incorporated by reference into this prospectus supplement and the accompanying prospectus, including our financial statements, and the exhibits to the registration statement of which this prospectus supplement is a part.</w:t>
      </w:r>
    </w:p>
    <w:p>
      <w:pPr>
        <w:spacing w:after="0" w:line="1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left="680" w:right="20"/>
        <w:spacing w:after="0" w:line="255" w:lineRule="auto"/>
        <w:rPr>
          <w:sz w:val="20"/>
          <w:szCs w:val="20"/>
          <w:color w:val="auto"/>
        </w:rPr>
      </w:pPr>
      <w:r>
        <w:rPr>
          <w:rFonts w:ascii="Times New Roman" w:cs="Times New Roman" w:eastAsia="Times New Roman" w:hAnsi="Times New Roman"/>
          <w:sz w:val="18"/>
          <w:szCs w:val="18"/>
          <w:color w:val="auto"/>
        </w:rPr>
        <w:t>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acquired Jiobit and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spacing w:after="0" w:line="122"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Our suite of product and service offerings, including the Life360 and Tile mobile applications, and related third-party services, is system and platform-agnostic, allowing our products and services to work seamlessly for our members, regardless of the devices they use. As of March 31, 2024, we had approximately 66.4 million MAUs and 1.9 million global Paying Circles on the Life360 Platform, representing a year-over-year increase of 31%, and 21%, respectively.</w:t>
      </w:r>
    </w:p>
    <w:p>
      <w:pPr>
        <w:spacing w:after="0" w:line="126"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Our revenue is primarily generated from the sale of subscriptions and hardware tracking devices used to access our services across our two major brands, Life360 and Tile. In addition, a portion of our revenue is generated indirectly from the sale of aggregated data (non-personally identifiable information) for the purposes of data insights from our member base to our partners and from the sale of third-party products and services, including through the placement of ads within our platform.</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the years ended December 31, 2023, 2022, and 2021, we generated:</w:t>
      </w:r>
    </w:p>
    <w:p>
      <w:pPr>
        <w:spacing w:after="0" w:line="171"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color w:val="auto"/>
        </w:rPr>
        <w:t>•</w:t>
        <w:tab/>
        <w:t>Total revenue of $304.5 million, $228.3 million, and $112.6 million, respectively;</w:t>
      </w:r>
    </w:p>
    <w:p>
      <w:pPr>
        <w:spacing w:after="0" w:line="27" w:lineRule="exact"/>
        <w:rPr>
          <w:sz w:val="20"/>
          <w:szCs w:val="20"/>
          <w:color w:val="auto"/>
        </w:rPr>
      </w:pPr>
    </w:p>
    <w:p>
      <w:pPr>
        <w:ind w:left="1320" w:right="2600"/>
        <w:spacing w:after="0" w:line="250" w:lineRule="auto"/>
        <w:rPr>
          <w:sz w:val="20"/>
          <w:szCs w:val="20"/>
          <w:color w:val="auto"/>
        </w:rPr>
      </w:pPr>
      <w:r>
        <w:rPr>
          <w:rFonts w:ascii="Times New Roman" w:cs="Times New Roman" w:eastAsia="Times New Roman" w:hAnsi="Times New Roman"/>
          <w:sz w:val="18"/>
          <w:szCs w:val="18"/>
          <w:color w:val="auto"/>
        </w:rPr>
        <w:t>◦ Subscription revenue of $220.8 million, $153.3 million, and $86.6 million, respectively; ◦ Hardware revenue of $58.2 million, $47.9 million, and $1.0 million, respectively; ◦ Other revenue of $25.5 million, $27.1 million, and $25.1 million, respectively;</w:t>
      </w:r>
    </w:p>
    <w:p>
      <w:pPr>
        <w:spacing w:after="0" w:line="1"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color w:val="auto"/>
        </w:rPr>
        <w:t>•</w:t>
        <w:tab/>
        <w:t>Net loss of $28.2 million, $91.6 million, and $33.6 million, respectively; and</w:t>
      </w:r>
    </w:p>
    <w:p>
      <w:pPr>
        <w:spacing w:after="0" w:line="9"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color w:val="auto"/>
        </w:rPr>
        <w:t>•</w:t>
        <w:tab/>
        <w:t>Adjusted EBITDA of $20.6 million, $(40.1) million, and $(13.1) million, respectively.</w:t>
      </w:r>
      <w:r>
        <w:rPr>
          <w:rFonts w:ascii="Times New Roman" w:cs="Times New Roman" w:eastAsia="Times New Roman" w:hAnsi="Times New Roman"/>
          <w:sz w:val="23"/>
          <w:szCs w:val="23"/>
          <w:color w:val="auto"/>
          <w:vertAlign w:val="superscript"/>
        </w:rPr>
        <w:t>1</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See “Summary Selected Condensed Consolidated Financial and Other Data—Non-GAAP Financial Information” for a reconciliation to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580"/>
          </w:cols>
          <w:pgMar w:left="320" w:top="12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36130" cy="7804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80478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1000" w:hanging="323"/>
        <w:spacing w:after="0" w:line="269" w:lineRule="auto"/>
        <w:rPr>
          <w:sz w:val="20"/>
          <w:szCs w:val="20"/>
          <w:color w:val="auto"/>
        </w:rPr>
      </w:pPr>
      <w:r>
        <w:rPr>
          <w:rFonts w:ascii="Times New Roman" w:cs="Times New Roman" w:eastAsia="Times New Roman" w:hAnsi="Times New Roman"/>
          <w:sz w:val="14"/>
          <w:szCs w:val="14"/>
          <w:color w:val="auto"/>
        </w:rPr>
        <w:t>Note: As of March 31, 2024 unless otherwise stated. 1. Available in 133 countries through Google Play Store. 2. Based on approximately 38.8 million U.S. MAUs compared to the total U.S. population adjusted for smartphone penetration. 3. By Daily Active Users on the Apple App Store in the U.S. as of March 2024. 4. In full-year 2023.</w:t>
      </w:r>
    </w:p>
    <w:p>
      <w:pPr>
        <w:spacing w:after="0" w:line="3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Life360 Platform</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currently offer four key product features that make up the Life360 Platform: (i) location coordination and safety, (ii) driving safety,</w:t>
      </w:r>
    </w:p>
    <w:p>
      <w:pPr>
        <w:spacing w:after="0" w:line="27" w:lineRule="exact"/>
        <w:rPr>
          <w:sz w:val="20"/>
          <w:szCs w:val="20"/>
          <w:color w:val="auto"/>
        </w:rPr>
      </w:pPr>
    </w:p>
    <w:p>
      <w:pPr>
        <w:jc w:val="both"/>
        <w:ind w:left="680" w:hanging="6"/>
        <w:spacing w:after="0" w:line="252" w:lineRule="auto"/>
        <w:tabs>
          <w:tab w:leader="none" w:pos="10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Our hardware products under the Tile brand seamlessly integrate with the Life360 Platform. The Tile bluetooth network leverages the installed base of Life360 members to scan for locations of devices, generating even higher confidence that we can locate lost devices of Tile customers. Tile devices are sold through online and brick and mortar retail channels as well as directly via Tile.com in various shapes, sizes, and price points for different use cases. The Tile mobile application offers a free service as well as two paid subscription options: Premium and Premium Protect, which offer additional services such as warranties and item reimbursement.</w:t>
      </w:r>
    </w:p>
    <w:p>
      <w:pPr>
        <w:spacing w:after="0" w:line="129"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Jiobit product line, which we intend to rebrand to align with the Tile brand, offers wearable location devices for young children, pets, and seniors. Currently, it is offered exclusively in the U.S. via online retailers. Customers purchase a GPS enabled device and a monthly subscription to access location tracking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sectPr>
          <w:pgSz w:w="11900" w:h="16838" w:orient="portrait"/>
          <w:cols w:equalWidth="0" w:num="1">
            <w:col w:w="10580"/>
          </w:cols>
          <w:pgMar w:left="32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10580"/>
          </w:cols>
          <w:pgMar w:left="320" w:top="12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93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color w:val="auto"/>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We have signed a non-binding letter of intent (“LOI”) with Hubble, a global satellite network designed for any bluetooth-enabled device to connect to, regarding a potential partnership that, upon the expansion of Hubble’s satellite constellation, we expect to expand our location tracking capabilities. Life360 and Hubble aim to build a global finder network, enabling partners to develop bluetooth finding devices capable of continuous global location sharing, independent of cellular connectivity. If integrated, this initiative would connect Life360’s extensive network of smartphones with Hubble’s satellite connectivity to form a unique network that locates devices from both space, using the Hubble constellation, and on the ground, via Life360’s widely used app.</w:t>
      </w:r>
    </w:p>
    <w:p>
      <w:pPr>
        <w:spacing w:after="0" w:line="140"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are a market leader in family safety, connecting millions of people globally through software and hardware to the people, pets and things they care most about. We offer a range of services including location sharing, safe driver reports, and crash detection with emergency dispatch. The widespread proliferation and continued growth of connected devices has led to a normalization of location sharing for a wide range of consumer applications such as item tracking, communication, social coordination or travel. From December 2018 through March 2024, the global location sharing app market alone has grown at a 22% CAGR, according to Data.ai. With our location-based technology as an anchor and our holistic approach to create the most trusted family connectivity and safety brand, we believe we can directly address multiple large, global market opportunities across our core and emerging offerings:</w:t>
      </w:r>
    </w:p>
    <w:p>
      <w:pPr>
        <w:spacing w:after="0" w:line="135" w:lineRule="exact"/>
        <w:rPr>
          <w:sz w:val="20"/>
          <w:szCs w:val="20"/>
          <w:color w:val="auto"/>
        </w:rPr>
      </w:pPr>
    </w:p>
    <w:p>
      <w:pPr>
        <w:jc w:val="both"/>
        <w:ind w:left="1320" w:right="20" w:hanging="322"/>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Services.</w:t>
      </w:r>
      <w:r>
        <w:rPr>
          <w:rFonts w:ascii="Times New Roman" w:cs="Times New Roman" w:eastAsia="Times New Roman" w:hAnsi="Times New Roman"/>
          <w:sz w:val="18"/>
          <w:szCs w:val="18"/>
          <w:color w:val="auto"/>
        </w:rPr>
        <w:t xml:space="preserve"> The Life360 Platform is currently available in 171 countries through the Apple App Store and 133 countries through the Google Play Store through both tiered and single subscription offerings. We believe that the opportunity for our core subscription offerings alone translates into a TAM of $75 billion. Our core subscription offering consists of a bundle of services that competes with a variety of single point solutions, including:</w:t>
      </w:r>
    </w:p>
    <w:p>
      <w:pPr>
        <w:spacing w:after="0" w:line="123" w:lineRule="exact"/>
        <w:rPr>
          <w:rFonts w:ascii="Times New Roman" w:cs="Times New Roman" w:eastAsia="Times New Roman" w:hAnsi="Times New Roman"/>
          <w:sz w:val="18"/>
          <w:szCs w:val="18"/>
          <w:color w:val="auto"/>
        </w:rPr>
      </w:pPr>
    </w:p>
    <w:p>
      <w:pPr>
        <w:ind w:left="1640" w:right="20" w:hanging="318"/>
        <w:spacing w:after="0" w:line="284" w:lineRule="auto"/>
        <w:tabs>
          <w:tab w:leader="none" w:pos="16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Sharing. </w:t>
      </w:r>
      <w:r>
        <w:rPr>
          <w:rFonts w:ascii="Times New Roman" w:cs="Times New Roman" w:eastAsia="Times New Roman" w:hAnsi="Times New Roman"/>
          <w:sz w:val="18"/>
          <w:szCs w:val="18"/>
          <w:color w:val="auto"/>
        </w:rPr>
        <w:t>Our location sharing and associated safety features are a core pillar of our service, providing peace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mind for members by knowing location activity, receiving notifications and coordinating through messaging.</w:t>
      </w:r>
    </w:p>
    <w:p>
      <w:pPr>
        <w:spacing w:after="0" w:line="104" w:lineRule="exact"/>
        <w:rPr>
          <w:rFonts w:ascii="Times New Roman" w:cs="Times New Roman" w:eastAsia="Times New Roman" w:hAnsi="Times New Roman"/>
          <w:sz w:val="18"/>
          <w:szCs w:val="18"/>
          <w:color w:val="auto"/>
        </w:rPr>
      </w:pPr>
    </w:p>
    <w:p>
      <w:pPr>
        <w:ind w:left="1640" w:right="20" w:hanging="318"/>
        <w:spacing w:after="0" w:line="284" w:lineRule="auto"/>
        <w:tabs>
          <w:tab w:leader="none" w:pos="16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Driving Safety. </w:t>
      </w:r>
      <w:r>
        <w:rPr>
          <w:rFonts w:ascii="Times New Roman" w:cs="Times New Roman" w:eastAsia="Times New Roman" w:hAnsi="Times New Roman"/>
          <w:sz w:val="18"/>
          <w:szCs w:val="18"/>
          <w:color w:val="auto"/>
        </w:rPr>
        <w:t>Our crash detection features can sense collisions, and we deploy emergency response and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 with roadside issues such as towing services or minor repairs like jumpstarting a car battery.</w:t>
      </w:r>
    </w:p>
    <w:p>
      <w:pPr>
        <w:spacing w:after="0" w:line="104" w:lineRule="exact"/>
        <w:rPr>
          <w:rFonts w:ascii="Times New Roman" w:cs="Times New Roman" w:eastAsia="Times New Roman" w:hAnsi="Times New Roman"/>
          <w:sz w:val="18"/>
          <w:szCs w:val="18"/>
          <w:color w:val="auto"/>
        </w:rPr>
      </w:pPr>
    </w:p>
    <w:p>
      <w:pPr>
        <w:ind w:left="1640" w:right="20" w:hanging="318"/>
        <w:spacing w:after="0" w:line="284" w:lineRule="auto"/>
        <w:tabs>
          <w:tab w:leader="none" w:pos="16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Stolen Phone Protection. </w:t>
      </w:r>
      <w:r>
        <w:rPr>
          <w:rFonts w:ascii="Times New Roman" w:cs="Times New Roman" w:eastAsia="Times New Roman" w:hAnsi="Times New Roman"/>
          <w:sz w:val="18"/>
          <w:szCs w:val="18"/>
          <w:color w:val="auto"/>
        </w:rPr>
        <w:t>Our stolen phone protection provides coverage for members in the U.S., Canada, ANZ,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Kingdom in the event their phone is stolen.</w:t>
      </w:r>
    </w:p>
    <w:p>
      <w:pPr>
        <w:spacing w:after="0" w:line="104" w:lineRule="exact"/>
        <w:rPr>
          <w:rFonts w:ascii="Times New Roman" w:cs="Times New Roman" w:eastAsia="Times New Roman" w:hAnsi="Times New Roman"/>
          <w:sz w:val="18"/>
          <w:szCs w:val="18"/>
          <w:color w:val="auto"/>
        </w:rPr>
      </w:pPr>
    </w:p>
    <w:p>
      <w:pPr>
        <w:jc w:val="both"/>
        <w:ind w:left="1640" w:hanging="318"/>
        <w:spacing w:after="0" w:line="267" w:lineRule="auto"/>
        <w:tabs>
          <w:tab w:leader="none" w:pos="16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Emergency Assistance. </w:t>
      </w:r>
      <w:r>
        <w:rPr>
          <w:rFonts w:ascii="Times New Roman" w:cs="Times New Roman" w:eastAsia="Times New Roman" w:hAnsi="Times New Roman"/>
          <w:sz w:val="18"/>
          <w:szCs w:val="18"/>
          <w:color w:val="auto"/>
        </w:rPr>
        <w:t>Through emergency assistance, our Platinum members have access to medical professionals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offer referrals and provide reliable and trusted information. Further, members can get expert advice and help in unpredictable situations such as natural disasters or travel support both before and during travels.</w:t>
      </w:r>
    </w:p>
    <w:p>
      <w:pPr>
        <w:spacing w:after="0" w:line="119" w:lineRule="exact"/>
        <w:rPr>
          <w:rFonts w:ascii="Times New Roman" w:cs="Times New Roman" w:eastAsia="Times New Roman" w:hAnsi="Times New Roman"/>
          <w:sz w:val="18"/>
          <w:szCs w:val="18"/>
          <w:color w:val="auto"/>
        </w:rPr>
      </w:pPr>
    </w:p>
    <w:p>
      <w:pPr>
        <w:jc w:val="both"/>
        <w:ind w:left="1640" w:right="20" w:hanging="318"/>
        <w:spacing w:after="0" w:line="267" w:lineRule="auto"/>
        <w:tabs>
          <w:tab w:leader="none" w:pos="16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Safety. </w:t>
      </w:r>
      <w:r>
        <w:rPr>
          <w:rFonts w:ascii="Times New Roman" w:cs="Times New Roman" w:eastAsia="Times New Roman" w:hAnsi="Times New Roman"/>
          <w:sz w:val="18"/>
          <w:szCs w:val="18"/>
          <w:color w:val="auto"/>
        </w:rPr>
        <w:t>Increased data breaches, credit card, bank and identity fraud has driven a need for digital safety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consumers. We leverage our aggregated data to offer proactive protection, notify about potential threats, and assist our members in remediation.</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10580"/>
          </w:cols>
          <w:pgMar w:left="320" w:top="12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13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hanging="322"/>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Item Tracking.</w:t>
      </w:r>
      <w:r>
        <w:rPr>
          <w:rFonts w:ascii="Times New Roman" w:cs="Times New Roman" w:eastAsia="Times New Roman" w:hAnsi="Times New Roman"/>
          <w:sz w:val="18"/>
          <w:szCs w:val="18"/>
          <w:color w:val="auto"/>
        </w:rPr>
        <w:t xml:space="preserve"> Tile is a leading brand in the rapidly growing smart tracker industry helping address the everyday pain point of losing or misplacing the things that matter most to our members. The market for bluetooth tracking and finding devices was estimated to be $2.1 billion in 2023, expected to grow at an estimated CAGR of 30% to $16.7 billion from 2023 to 2031, according to Intellectual Market Insights Report.</w:t>
      </w:r>
    </w:p>
    <w:p>
      <w:pPr>
        <w:spacing w:after="0" w:line="125" w:lineRule="exact"/>
        <w:rPr>
          <w:rFonts w:ascii="Times New Roman" w:cs="Times New Roman" w:eastAsia="Times New Roman" w:hAnsi="Times New Roman"/>
          <w:sz w:val="18"/>
          <w:szCs w:val="18"/>
          <w:color w:val="auto"/>
        </w:rPr>
      </w:pPr>
    </w:p>
    <w:p>
      <w:pPr>
        <w:jc w:val="both"/>
        <w:ind w:left="1320" w:hanging="322"/>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Pet Tracking.</w:t>
      </w:r>
      <w:r>
        <w:rPr>
          <w:rFonts w:ascii="Times New Roman" w:cs="Times New Roman" w:eastAsia="Times New Roman" w:hAnsi="Times New Roman"/>
          <w:sz w:val="18"/>
          <w:szCs w:val="18"/>
          <w:color w:val="auto"/>
        </w:rPr>
        <w:t xml:space="preserve"> The American Pet Product Association estimates that there are over 110 million cats and dogs in households in the U.S. The global pet wearable market is expected to grow at a 14% CAGR from $2.7 billion in 2023 to $6.9 billion by 2030. Within our member base, 65% of surveyed U.S. members owning a pet would be interested in a pet tracker as part of their Life360 subscription, demonstrating the strong market fit for our offering and our goal to capture this opportunity.</w:t>
      </w:r>
    </w:p>
    <w:p>
      <w:pPr>
        <w:spacing w:after="0" w:line="125" w:lineRule="exact"/>
        <w:rPr>
          <w:rFonts w:ascii="Times New Roman" w:cs="Times New Roman" w:eastAsia="Times New Roman" w:hAnsi="Times New Roman"/>
          <w:sz w:val="18"/>
          <w:szCs w:val="18"/>
          <w:color w:val="auto"/>
        </w:rPr>
      </w:pPr>
    </w:p>
    <w:p>
      <w:pPr>
        <w:jc w:val="both"/>
        <w:ind w:left="1320" w:right="20" w:hanging="322"/>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Advertising.</w:t>
      </w:r>
      <w:r>
        <w:rPr>
          <w:rFonts w:ascii="Times New Roman" w:cs="Times New Roman" w:eastAsia="Times New Roman" w:hAnsi="Times New Roman"/>
          <w:sz w:val="18"/>
          <w:szCs w:val="18"/>
          <w:color w:val="auto"/>
        </w:rPr>
        <w:t xml:space="preserve"> The global mobile advertising market is estimated to be $402 billion in 2024 by Data.ai. We believe our leading consumer-centric platform, our highly-engaged member base and our valuable first-party data position us to capture a portion of this market while still prioritizing the quality of our members’ experiences and privacy. We believe advertising in the U.S. alone could be a $3.1 billion addressable opportunity for us.</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As part of our growth roadmap, we expect to leverage our core experience to drive growth in adjacent markets, expand our addressable market, and integrate Life360 into all life stages. We believe our TAM includes adjacent opportunities such as auto insurance, a $382 billion market in the U.S. in 2023 alone, according to Mordor Intelligence, as well as elderly monitoring and family financial services.</w:t>
      </w:r>
    </w:p>
    <w:p>
      <w:pPr>
        <w:spacing w:after="0" w:line="122"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While we are already a leader in family safety and location sharing globally, we believe we are significantly underpenetrated across our core markets. For example, in the UK, ANZ, Canada, and Europe, penetration has increased over three times, measured as MAUs divided by population adjusted for smartphone penetration, according to the Pew Research Center, between December 2018 and March 2024. We believe there is potential for these markets to eventually reach parity with the U.S., where current penetration is 1 in 8 smartphone owners. Specifically, as of March 31, 2024, in the UK, ANZ, and Canada, our penetration is 7%, 9%, and 3%, respectively, reflecting 4.2 million, 2.2 million, and 0.9 million MAUs as of March 31, 2024, compared to 13% penetration in the U.S., reflecting approximately 38.8 million MAUs.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While U.S. penetration grew from 6% as of March 31, 2020, to 13% as of March 31, 2024, we believe there is still a significant remaining runway for growth in the U.S. Over the last four years, U.S. penetration increased across all states, and states with penetration above the U.S. average of 6% in 2020 experienced over 115% penetration</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580"/>
          </w:cols>
          <w:pgMar w:left="320" w:top="12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07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growth on average from March 31, 2020, to March 31, 2024, underlining that there is still meaningful runway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in Family Safety Across All Life Stages: </w:t>
      </w:r>
      <w:r>
        <w:rPr>
          <w:rFonts w:ascii="Times New Roman" w:cs="Times New Roman" w:eastAsia="Times New Roman" w:hAnsi="Times New Roman"/>
          <w:sz w:val="18"/>
          <w:szCs w:val="18"/>
          <w:color w:val="auto"/>
        </w:rPr>
        <w:t>We are a market leader in family safety and location sharing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addressing large, global market opportunities across our offerings. Approximately 66.4 million MAUs on the Life360 Platform worldwide enjoy the peace of mind that comes with the Life360 location sharing and safety features. We believe that our variety of services, including location safety, driving safety, digital safety, and emergency assistance, provide members with a superior experience. Beyond the Life360 app, we also help our members track their pets and the things they care most about, ensuring that families know all the most important aspects of their life are connected and safe. Given the breadth of our platform and services, we have attracted a wide range of members that span all life stages. To understand the segmentation of our member base, we analyze the composition of both our Circles, which includes free and paying members, and Paying Circles so that we can better understand the monetization patterns of different segments. Families with teens, which we define as Circles with at least one member being a parent and one or more teens, between the ages of 13 to 19, are our key audience making up 39% of Circles and 56% of Paying Circles, as of March 31, 2024. Couples, which we define as Circles of two members with a spouse or partner, represent 18% of Circles and 11% of Paying Circles as of March 31, 2024. We believe we have an opportunity to drive member engagement and organic growth in new MAUs across all life stages and expand monetization beyond our core audience.</w:t>
      </w:r>
    </w:p>
    <w:p>
      <w:pPr>
        <w:spacing w:after="0" w:line="131" w:lineRule="exact"/>
        <w:rPr>
          <w:rFonts w:ascii="Times New Roman" w:cs="Times New Roman" w:eastAsia="Times New Roman" w:hAnsi="Times New Roman"/>
          <w:sz w:val="18"/>
          <w:szCs w:val="18"/>
          <w:color w:val="auto"/>
        </w:rPr>
      </w:pPr>
    </w:p>
    <w:p>
      <w:pPr>
        <w:jc w:val="both"/>
        <w:ind w:left="1320" w:hanging="322"/>
        <w:spacing w:after="0" w:line="25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Brand Awareness and Freemium Model Driving Powerful Network Effects: </w:t>
      </w:r>
      <w:r>
        <w:rPr>
          <w:rFonts w:ascii="Times New Roman" w:cs="Times New Roman" w:eastAsia="Times New Roman" w:hAnsi="Times New Roman"/>
          <w:sz w:val="18"/>
          <w:szCs w:val="18"/>
          <w:color w:val="auto"/>
        </w:rPr>
        <w:t>We have built a trusted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synonymous with family safety and location sharing, driving strong word-of-mouth virality and organic member growth. We estimate our brand awareness among parents in the U.S. to be 53% in October 2023, with a Net Promoter Score of greater than 50 for adults aged between 31-60 in the U.S. as of April 2024. This is supported by Life360’s position as a top five social networking mobile app by DAUs, with a 4.7 rating on the Apple App Store in the U.S., as of March 2024. Because app store rankings significantly impact a consumer’s decision to download an app, we believe our high app store ranking drives strong organic member acquisition for Life360. We also believe our freemium business model drives significant member scale, allowing us to keep paid marketing spend efficient. Any smartphone user can download and use select Life360 features without payment, and we have a proven ability to convert free members to subscribers over time. On average, for all members that registered from 2017 through March 2024, with respect to free members that converted to subscribers during the first three years, approximately 35% converted in the first 1 month, approximately 28% converted in the next 11 months, and approximately 37% converted in the next 24 months. This demonstrates our consistency in driving subscriber conversion over multiple years well after their initial acquisition. We leverage our deep data insights to upsell free members at select, intentional moments to convert them to subscribers, where they can access new features that increase their willingness to pay and drive higher ARPPC over time. Our strong brand and freemium business model have helped drive efficient member growth of 26% for the year</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10580"/>
          </w:cols>
          <w:pgMar w:left="320" w:top="12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30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right="20"/>
        <w:spacing w:after="0" w:line="261" w:lineRule="auto"/>
        <w:rPr>
          <w:sz w:val="20"/>
          <w:szCs w:val="20"/>
          <w:color w:val="auto"/>
        </w:rPr>
      </w:pPr>
      <w:r>
        <w:rPr>
          <w:rFonts w:ascii="Times New Roman" w:cs="Times New Roman" w:eastAsia="Times New Roman" w:hAnsi="Times New Roman"/>
          <w:sz w:val="18"/>
          <w:szCs w:val="18"/>
          <w:color w:val="auto"/>
        </w:rPr>
        <w:t>ended December 31, 2023 (including 40% growth outside the U.S.), while sales and marketing expense as a percentage of revenue fell from 40% to 33% year-over-year. Between 2019 and 2023, our Life360 user acquisition cost, defined as the annual user acquisition spend divided by total new member registrations, was less than $1 per new member, driven by our strong word-of-mouth and disciplined approach to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1000" w:hanging="326"/>
        <w:spacing w:after="0" w:line="262" w:lineRule="auto"/>
        <w:tabs>
          <w:tab w:leader="none" w:pos="9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Paying Circles presented prior to 2023 in the table above have been recast to reflect the calculations under the revised metric definition.</w:t>
      </w:r>
    </w:p>
    <w:p>
      <w:pPr>
        <w:spacing w:after="0" w:line="134" w:lineRule="exact"/>
        <w:rPr>
          <w:rFonts w:ascii="Times New Roman" w:cs="Times New Roman" w:eastAsia="Times New Roman" w:hAnsi="Times New Roman"/>
          <w:sz w:val="14"/>
          <w:szCs w:val="14"/>
          <w:color w:val="auto"/>
        </w:rPr>
      </w:pPr>
    </w:p>
    <w:p>
      <w:pPr>
        <w:jc w:val="both"/>
        <w:ind w:left="1320" w:hanging="322"/>
        <w:spacing w:after="0" w:line="252" w:lineRule="auto"/>
        <w:tabs>
          <w:tab w:leader="none" w:pos="13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Engaged Member Base: </w:t>
      </w:r>
      <w:r>
        <w:rPr>
          <w:rFonts w:ascii="Times New Roman" w:cs="Times New Roman" w:eastAsia="Times New Roman" w:hAnsi="Times New Roman"/>
          <w:sz w:val="18"/>
          <w:szCs w:val="18"/>
          <w:color w:val="auto"/>
        </w:rPr>
        <w:t>We believe our member experience is what has enabled the Life360 Platform to become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player in family safety and location sharing. On average, our U.S. MAUs engaged with the Life360 Platform over 5 times per day in March 2024, with approximately 43% of U.S. MAUs using the Life360 Platform daily, and that number increases to approximately 64% of U.S. MAUs when including push notifications. We are focused on continually improving our member engagement, and have been able to do so in both the U.S. and internationally by enhancing the member experience, introducing new services, localizing content for international markets, and implementing infrastructure improvements. Because of this, we increased the percentage of U.S. MAUs opening the Life360 Platform daily by 7 percentage points from 36% in January 2020 to 43% in March 2024. Improvements in our member engagement for international MAUs outpaced that of the U.S., increasing by 11 percentage points from 24% to 35% over the same time period. Our member base is highly entrenched in our platform—as more members join the Life360 Platform, our members are able to gain deeper insights into the activities of their Circles that are not replicable on any other social network. The charts below highlight the increasing size and retention of our MAUs and the conversion to and retention of our Paying Circles that have joined in each period presented. The MAU chart illustrates that our number of MAUs by member registration year has grown significantly over time (with the exception of COVID-related impacts in 2020, which significantly depressed new member registrations during 2020 and we believe is not indicative of our growth), driven by higher registrations and improving member retention, particularly internationally. The Paying Circles chart highlights the growth in our subscriber base as a result of the growth in MAUs and increases in conversion. The long-term conversion pattern of our free members to Paying Circles (as described in “Strong Brand Awareness and Freemium Model Driving Powerful Network Effects”) has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580"/>
          </w:cols>
          <w:pgMar w:left="320" w:top="12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8216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right="20"/>
        <w:spacing w:after="0" w:line="282" w:lineRule="auto"/>
        <w:rPr>
          <w:sz w:val="20"/>
          <w:szCs w:val="20"/>
          <w:color w:val="auto"/>
        </w:rPr>
      </w:pPr>
      <w:r>
        <w:rPr>
          <w:rFonts w:ascii="Times New Roman" w:cs="Times New Roman" w:eastAsia="Times New Roman" w:hAnsi="Times New Roman"/>
          <w:sz w:val="18"/>
          <w:szCs w:val="18"/>
          <w:color w:val="auto"/>
        </w:rPr>
        <w:t>historically supported our net subscriber retention for the Paying Circles by member registration year by helping to offset, at least partially, subscribers that leave the platform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320" w:hanging="322"/>
        <w:spacing w:after="0" w:line="254"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Value Proposition Enabling Expansion of Average Revenue per Paying Circle: </w:t>
      </w:r>
      <w:r>
        <w:rPr>
          <w:rFonts w:ascii="Times New Roman" w:cs="Times New Roman" w:eastAsia="Times New Roman" w:hAnsi="Times New Roman"/>
          <w:sz w:val="18"/>
          <w:szCs w:val="18"/>
          <w:color w:val="auto"/>
        </w:rPr>
        <w:t>We have leveraged our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proposition to members and tiered membership strategy to significantly increase our ARPPC with 16% year-over-year growth for U.S. Paying Circles as of the three months ending March 31, 2024, and 39% year-over-year growth for international Paying Circles in the same period. We have a strong track record of expanding ARPPC over time across both new and existing Paying Circles through a combination of higher pricing from the launch of triple tier memberships and price increases to new and existing Paying Circles. We expect this growth to continue as we benefit from recent triple tier membership launches in Canada, the UK and ANZ, and as members of our Paying Circles upgrade to higher priced tiers with additional features, including upsell opportunities with our hardware offering. We believe our subscriber retention dynamics combined with our ability to expand ARPPC provides visibility into our</w:t>
      </w:r>
    </w:p>
    <w:p>
      <w:pPr>
        <w:sectPr>
          <w:pgSz w:w="11900" w:h="16838" w:orient="portrait"/>
          <w:cols w:equalWidth="0" w:num="1">
            <w:col w:w="10580"/>
          </w:cols>
          <w:pgMar w:left="320" w:top="121" w:right="999" w:bottom="6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0580"/>
          </w:cols>
          <w:pgMar w:left="320" w:top="121" w:right="999" w:bottom="64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81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spacing w:after="0" w:line="258" w:lineRule="auto"/>
        <w:rPr>
          <w:sz w:val="20"/>
          <w:szCs w:val="20"/>
          <w:color w:val="auto"/>
        </w:rPr>
      </w:pPr>
      <w:r>
        <w:rPr>
          <w:rFonts w:ascii="Times New Roman" w:cs="Times New Roman" w:eastAsia="Times New Roman" w:hAnsi="Times New Roman"/>
          <w:sz w:val="18"/>
          <w:szCs w:val="18"/>
          <w:color w:val="auto"/>
        </w:rPr>
        <w:t>revenue. Net subscriber retention has historically been consistent across member registration years, driving net subscription revenue retention rate that is approximately 100% based on the average monthly subscription revenue for the six months ended December 31, 2023 compared to the prior six-month period. Our ability to continue to demonstrate trends like these is dependent on maintaining and expanding the value proposition of our platform, which supports member and subscriber retention and our ability to increase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1000" w:hanging="326"/>
        <w:spacing w:after="0" w:line="262" w:lineRule="auto"/>
        <w:tabs>
          <w:tab w:leader="none" w:pos="9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ARPPC presented prior to 2023 in the table above have been recast to reflect the calculations under the revised metric definition.</w:t>
      </w:r>
    </w:p>
    <w:p>
      <w:pPr>
        <w:spacing w:after="0" w:line="134" w:lineRule="exact"/>
        <w:rPr>
          <w:rFonts w:ascii="Times New Roman" w:cs="Times New Roman" w:eastAsia="Times New Roman" w:hAnsi="Times New Roman"/>
          <w:sz w:val="14"/>
          <w:szCs w:val="14"/>
          <w:color w:val="auto"/>
        </w:rPr>
      </w:pPr>
    </w:p>
    <w:p>
      <w:pPr>
        <w:jc w:val="both"/>
        <w:ind w:left="1320" w:hanging="322"/>
        <w:spacing w:after="0" w:line="255" w:lineRule="auto"/>
        <w:tabs>
          <w:tab w:leader="none" w:pos="13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First-Party Data Advantage to Monetize Through Advertising: </w:t>
      </w:r>
      <w:r>
        <w:rPr>
          <w:rFonts w:ascii="Times New Roman" w:cs="Times New Roman" w:eastAsia="Times New Roman" w:hAnsi="Times New Roman"/>
          <w:sz w:val="18"/>
          <w:szCs w:val="18"/>
          <w:color w:val="auto"/>
        </w:rPr>
        <w:t>We introduced advertising to our platform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quarter of 2024, with the goal of providing our advertising partners access to Life360’s global free member base. We believe we are well positioned to monetize our advertising offering, given our deterministic-based targeting due to our extensive first-party location data, our globally recognized brand, and our ability to provide brands a contextually relevant and safe place to engage with families. Our focus is to implement advertising while ensuring that we protect our core experience and our member’s data privacy, and we are encouraged by the success of early testing, which demonstrates a neutral impact on member engagement and customer satisfaction score. We believe advertising presents a strong opportunity to build on the overall member experience and capitalize on our data advantage.</w:t>
      </w:r>
    </w:p>
    <w:p>
      <w:pPr>
        <w:spacing w:after="0" w:line="130"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Comprehensive Product Suite with Breadth and Depth of Functionality: </w:t>
      </w:r>
      <w:r>
        <w:rPr>
          <w:rFonts w:ascii="Times New Roman" w:cs="Times New Roman" w:eastAsia="Times New Roman" w:hAnsi="Times New Roman"/>
          <w:sz w:val="18"/>
          <w:szCs w:val="18"/>
          <w:color w:val="auto"/>
        </w:rPr>
        <w:t>Since 2016, we have invested over $375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with 35 patents issued or pending underlying the key offerings of our platform (including patents covering battery power conservation; location fixing and tracking; behavioral pattern assessment in the use of a mobile device; member safety; notification management; usage monitoring and access control of applications; generation of notifications in a workout group; generation and sending of prepopulated messages to a selected group of mobile devices). Our technology spans a wide range of services, from emergency assistance to identity theft protection to stolen phone reimbursement, applicable for every member of the family from child to grandparent. We are continually expanding our platform for our members. Our acquisitions of Tile and Jiobit have driven further growth, conversion, and retention by improving the overall member experience and providing access to a unified experience that brings together software and hardware.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580"/>
          </w:cols>
          <w:pgMar w:left="320" w:top="12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93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20" w:hanging="322"/>
        <w:spacing w:after="0" w:line="257"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and Device-Agnostic, with OS Neutrality and Interoperability: </w:t>
      </w:r>
      <w:r>
        <w:rPr>
          <w:rFonts w:ascii="Times New Roman" w:cs="Times New Roman" w:eastAsia="Times New Roman" w:hAnsi="Times New Roman"/>
          <w:sz w:val="18"/>
          <w:szCs w:val="18"/>
          <w:color w:val="auto"/>
        </w:rPr>
        <w:t>The Life360 suite of offerings is system- and device-agnostic, offering a cross-platform competitive advantage, especially in Android-heavy locales. Our products and services work seamlessly for families, regardless of the different platforms and devices that each family member may elect to use. This is reflected in the composition of Paying Circles between platforms, with 45% of our total Paying Circles as of March 31, 2024 being cross-platform. This rises to nearly 50% for Paying Circles with more than three members. We believe we will continue to benefit from the increasing proliferation of connected devices across platforms given our platform agnostic approach.</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6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Founder-Led, Seasoned Management Team: </w:t>
      </w:r>
      <w:r>
        <w:rPr>
          <w:rFonts w:ascii="Times New Roman" w:cs="Times New Roman" w:eastAsia="Times New Roman" w:hAnsi="Times New Roman"/>
          <w:sz w:val="18"/>
          <w:szCs w:val="18"/>
          <w:color w:val="auto"/>
        </w:rPr>
        <w:t>Our leadership team is composed of highly experienced executives,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proven track record of scaling consumer technology and subscription businesses, led by our co-founder and Chief Executive Officer, Chris Hulls. We are aligned and focused on our opportunity to build the most trusted brand in technology for family safety.</w:t>
      </w:r>
    </w:p>
    <w:p>
      <w:pPr>
        <w:spacing w:after="0" w:line="122"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Business Model Driven by Recurring Revenue: </w:t>
      </w:r>
      <w:r>
        <w:rPr>
          <w:rFonts w:ascii="Times New Roman" w:cs="Times New Roman" w:eastAsia="Times New Roman" w:hAnsi="Times New Roman"/>
          <w:sz w:val="18"/>
          <w:szCs w:val="18"/>
          <w:color w:val="auto"/>
        </w:rPr>
        <w:t>We believe that we have a highly scalable business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maximizes our revenues and minimizes our costs. The recurring nature of our subscription business coupled with strong member retention provides near-term revenue visibility, while our free member base serves as a highly efficient subscriber acquisition funnel. Our strategy has enabled us to drive continued revenue growth, achieving 33% year-over-year total revenue growth for the year ended December 31, 2023 underpinned by 44% year-over-year growth in subscription revenue (representing 73% of total revenue) in the same period. We believe we have invested in the necessary infrastructure to support our future growth and are beginning to see the benefits of operating leverage as we scale. For the year ended December 31, 2023, operating expenses grew by only 4% year-over-year compared to our larger revenue growth. This has contributed to a significantly reduced net loss of $28.2 million for the year ended December 31, 2023, compared to a net loss of $91.6 million for the year ended December 31, 2022, and a material improvement in Adjusted EBITDA, scaling from a $40.1 million loss for the year ended December 31, 2022 to $20.6 million for the year ended December 31, 2023.</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Members in New and Existing Markets: </w:t>
      </w:r>
      <w:r>
        <w:rPr>
          <w:rFonts w:ascii="Times New Roman" w:cs="Times New Roman" w:eastAsia="Times New Roman" w:hAnsi="Times New Roman"/>
          <w:sz w:val="18"/>
          <w:szCs w:val="18"/>
          <w:color w:val="auto"/>
        </w:rPr>
        <w:t>We have both a strong foothold in the U.S. and a large and growing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member base. The Life360 app is currently available for download in 171 countries through the Apple App Store and 133 countries through the Google Play Store. Our members are our best acquisition engine, and we believe that word-of-mouth referrals will continue to drive strong new member growth. We plan to drive further market penetration through increased investments in international marketing and brand awareness, member acquisition initiatives, and the provision of new features into these regions. We successfully implemented our tiered offering in Canada in December 2021, followed by the UK in October 2023, and ANZ in April 2024. As of December 31, 2023, international members represented approximately 40% of our total MAUs, but accounted for approximately 12% of total revenue—further highlighting the large-scale opportunity to grow paying subscriptions and advertising in new and existing global markets. Furthermore, we have demonstrated our ability to quickly accelerate ARPPC and revenue growth following the launch of triple tier pricing in new markets, replacing the legacy two tiered subscriber offering. Relative to its pre-launch revenue and ARPPC, Canada demonstrated ARPPC growth of 31%, 49%, and 51% after 6, 12, and 18 months post-launch, respectively. The triple tier membership launch and price increase to existing legacy subscribers in the UK saw 53% ARPPC growth in the first 6 months relative to the pre-launch baseline.</w:t>
      </w:r>
    </w:p>
    <w:p>
      <w:pPr>
        <w:spacing w:after="0" w:line="133" w:lineRule="exact"/>
        <w:rPr>
          <w:rFonts w:ascii="Times New Roman" w:cs="Times New Roman" w:eastAsia="Times New Roman" w:hAnsi="Times New Roman"/>
          <w:sz w:val="18"/>
          <w:szCs w:val="18"/>
          <w:color w:val="auto"/>
        </w:rPr>
      </w:pPr>
    </w:p>
    <w:p>
      <w:pPr>
        <w:jc w:val="both"/>
        <w:ind w:left="1320" w:hanging="322"/>
        <w:spacing w:after="0" w:line="257"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Conversion from Free Members to Paid Subscriptions: </w:t>
      </w:r>
      <w:r>
        <w:rPr>
          <w:rFonts w:ascii="Times New Roman" w:cs="Times New Roman" w:eastAsia="Times New Roman" w:hAnsi="Times New Roman"/>
          <w:sz w:val="18"/>
          <w:szCs w:val="18"/>
          <w:color w:val="auto"/>
        </w:rPr>
        <w:t>We have built a scaled, global member base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66.4 million MAUs and believe we are still early in our opportunity to monetize our member base. We believe our value proposition will drive conversion from free to paid as we incorporate additional features that resonate across all life stages. As of March 31, 2024, MAUs in U.S. Paying Circles represented approximately 12% of our approximately 38.8 million U.S. MAUs, providing a strong runway for additional paid conversion. Similarly, MAUs in International Paying Circles represented approximately 5% of our approximately 27.5 million International MAUs. Life360 has a strong track record of Paying</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10580"/>
          </w:cols>
          <w:pgMar w:left="320" w:top="12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59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spacing w:after="0" w:line="282" w:lineRule="auto"/>
        <w:rPr>
          <w:sz w:val="20"/>
          <w:szCs w:val="20"/>
          <w:color w:val="auto"/>
        </w:rPr>
      </w:pPr>
      <w:r>
        <w:rPr>
          <w:rFonts w:ascii="Times New Roman" w:cs="Times New Roman" w:eastAsia="Times New Roman" w:hAnsi="Times New Roman"/>
          <w:sz w:val="18"/>
          <w:szCs w:val="18"/>
          <w:color w:val="auto"/>
        </w:rPr>
        <w:t>Circle growth with 1.9 million global Paying Circles as of March 31, 2024, an increase of 21% year-over-year (including 39% year-over-year growth for International Paying Circles).</w:t>
      </w:r>
    </w:p>
    <w:p>
      <w:pPr>
        <w:spacing w:after="0" w:line="104" w:lineRule="exact"/>
        <w:rPr>
          <w:sz w:val="20"/>
          <w:szCs w:val="20"/>
          <w:color w:val="auto"/>
        </w:rPr>
      </w:pPr>
    </w:p>
    <w:p>
      <w:pPr>
        <w:jc w:val="both"/>
        <w:ind w:left="1320" w:hanging="322"/>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Disciplined Expansion in New Use Cases and New Verticals: </w:t>
      </w:r>
      <w:r>
        <w:rPr>
          <w:rFonts w:ascii="Times New Roman" w:cs="Times New Roman" w:eastAsia="Times New Roman" w:hAnsi="Times New Roman"/>
          <w:sz w:val="18"/>
          <w:szCs w:val="18"/>
          <w:color w:val="auto"/>
        </w:rPr>
        <w:t>Product innovation lies at the heart of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leverage our core technologies to offer additional services, expand into more life stages of families and enter new verticals, we believe we will strengthen our value proposition to consumers. We leverage the insights we generate from our platform to further enhance our offering. While we primarily monetize members via subscriptions today, we launched advertisements in the first quarter of 2024 and hope to expand into new revenue streams (such as auto insurance, family financial services and elderly monitoring) by leveraging the trust we have with our members and the valuable data our platform generates.</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Monetization of Free Members via Advertising: </w:t>
      </w:r>
      <w:r>
        <w:rPr>
          <w:rFonts w:ascii="Times New Roman" w:cs="Times New Roman" w:eastAsia="Times New Roman" w:hAnsi="Times New Roman"/>
          <w:sz w:val="18"/>
          <w:szCs w:val="18"/>
          <w:color w:val="auto"/>
        </w:rPr>
        <w:t>We believe advertising is a significant opportunity to monetize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base further, and we have developed a robust strategy to lean into this opportunity. Life360’s initial rollout is focused on pursuing programmatic relationships and paid partnerships while starting to leverage Life360’s unique, first-party data. Over time, we plan to expand our direct sales efforts to grow our advertiser base and pursue off-site advertising opportunities to help specific brands connect with our members organically and safely. Our priority is to implement advertising while ensuring that we enhance and protect our core experience, and we believe that we can achieve that while growing our advertising business significantly.</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7"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 Strategic Partnerships and Acquisition Opportunities: </w:t>
      </w:r>
      <w:r>
        <w:rPr>
          <w:rFonts w:ascii="Times New Roman" w:cs="Times New Roman" w:eastAsia="Times New Roman" w:hAnsi="Times New Roman"/>
          <w:sz w:val="18"/>
          <w:szCs w:val="18"/>
          <w:color w:val="auto"/>
        </w:rPr>
        <w:t>With our acquisitions of Tile and Jiobit and our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and investment in Hubble (which is still in initial stages and is subject to negotiation and execution of definitive documentation), we plan to leverage our platform to continue expanding into new verticals for pets, elderly monitoring, and the things that matter most to families. These acquisitions have been successful in accelerating our platform vision, driving growth, and delivering value. We may selectively pursue partnerships or acquisitions to accelerate our platform opportunity in the future, focusing on areas of differentiation that shore up our scale and competitive advantage.</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Except as described in this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of the proceeds from the sale of our securities by selling securityholders. See “Use of Proceeds” in this prospectus supplement.</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In addition, our common stock is listed on the Nasdaq Global Select Market under the symbol “LIF”. Upon listing our common stock on the Nasdaq Global Select Market, we intend to apply to ASX to convert our listing on ASX to an ASX Foreign Exempt Listing.</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 the ASX, the investor relations page on our website (www.life360.com), press releases, public conference calls, and public webcasts.</w:t>
      </w:r>
    </w:p>
    <w:p>
      <w:pPr>
        <w:spacing w:after="0" w:line="108"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S-10</w:t>
      </w:r>
    </w:p>
    <w:p>
      <w:pPr>
        <w:sectPr>
          <w:pgSz w:w="11900" w:h="16838" w:orient="portrait"/>
          <w:cols w:equalWidth="0" w:num="1">
            <w:col w:w="10580"/>
          </w:cols>
          <w:pgMar w:left="320" w:top="12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2395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2007 under the name of LReady, Inc. and subsequently changed our name to Life360, Inc. Our principal executive offices are located at 1900 South Norfolk Street, Suite 310, San Mateo, California 94403. Our telephone number is</w:t>
      </w:r>
    </w:p>
    <w:p>
      <w:pPr>
        <w:jc w:val="both"/>
        <w:ind w:left="680" w:hanging="6"/>
        <w:spacing w:after="0" w:line="255"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 Our website address is www.life360.com. Information contained on, or that can be accessed through, our website is not incorporated by reference into this prospectus supplement, and you should not consider information on our website to be part of this prospectus supplement. We have included our website address as an inactive textual reference only.</w:t>
      </w:r>
    </w:p>
    <w:p>
      <w:pPr>
        <w:spacing w:after="0" w:line="132"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Life360 logo, and other trademarks, trade names or service marks of Life360, Inc. appearing in this prospectus supplement are the property of Life360, Inc. All other trademarks, trade names and service marks appearing in this prospectus supplement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560"/>
          </w:cols>
          <w:pgMar w:left="320" w:top="12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16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w w:val="97"/>
              </w:rPr>
              <w:t>The Offering</w:t>
            </w: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3,703,704 shares</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the selling</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securityholders</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2,046,296 shares</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 of our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common stock offered by the selling</w:t>
            </w:r>
          </w:p>
        </w:tc>
        <w:tc>
          <w:tcPr>
            <w:tcW w:w="2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862,500 shares</w:t>
            </w:r>
          </w:p>
        </w:tc>
        <w:tc>
          <w:tcPr>
            <w:tcW w:w="0" w:type="dxa"/>
            <w:vAlign w:val="bottom"/>
          </w:tcPr>
          <w:p>
            <w:pPr>
              <w:spacing w:after="0"/>
              <w:rPr>
                <w:sz w:val="1"/>
                <w:szCs w:val="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securityholders</w:t>
            </w: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Common stock to be outstanding after this offering 73,422,765 shares (including shares underlying all issued and outstanding CDIs).</w:t>
      </w:r>
    </w:p>
    <w:p>
      <w:pPr>
        <w:spacing w:after="0" w:line="77" w:lineRule="exact"/>
        <w:rPr>
          <w:sz w:val="20"/>
          <w:szCs w:val="20"/>
          <w:color w:val="auto"/>
        </w:rPr>
      </w:pPr>
    </w:p>
    <w:p>
      <w:pPr>
        <w:ind w:left="700"/>
        <w:spacing w:after="0"/>
        <w:tabs>
          <w:tab w:leader="none" w:pos="44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estimate that we will receive net proceeds from this offering of approximately</w:t>
      </w:r>
    </w:p>
    <w:p>
      <w:pPr>
        <w:ind w:left="4440"/>
        <w:spacing w:after="0" w:line="205" w:lineRule="auto"/>
        <w:rPr>
          <w:sz w:val="20"/>
          <w:szCs w:val="20"/>
          <w:color w:val="auto"/>
        </w:rPr>
      </w:pPr>
      <w:r>
        <w:rPr>
          <w:rFonts w:ascii="Times New Roman" w:cs="Times New Roman" w:eastAsia="Times New Roman" w:hAnsi="Times New Roman"/>
          <w:sz w:val="18"/>
          <w:szCs w:val="18"/>
          <w:color w:val="auto"/>
        </w:rPr>
        <w:t>$83.1 million (or approximately $81.5 million if the underwriters exercise their</w:t>
      </w:r>
    </w:p>
    <w:p>
      <w:pPr>
        <w:ind w:left="4440"/>
        <w:spacing w:after="0" w:line="204" w:lineRule="auto"/>
        <w:rPr>
          <w:sz w:val="20"/>
          <w:szCs w:val="20"/>
          <w:color w:val="auto"/>
        </w:rPr>
      </w:pPr>
      <w:r>
        <w:rPr>
          <w:rFonts w:ascii="Times New Roman" w:cs="Times New Roman" w:eastAsia="Times New Roman" w:hAnsi="Times New Roman"/>
          <w:sz w:val="18"/>
          <w:szCs w:val="18"/>
          <w:color w:val="auto"/>
        </w:rPr>
        <w:t>option to purchase additional shares of our common stock from the selling</w:t>
      </w:r>
    </w:p>
    <w:p>
      <w:pPr>
        <w:ind w:left="4440"/>
        <w:spacing w:after="0" w:line="219" w:lineRule="auto"/>
        <w:rPr>
          <w:sz w:val="20"/>
          <w:szCs w:val="20"/>
          <w:color w:val="auto"/>
        </w:rPr>
      </w:pPr>
      <w:r>
        <w:rPr>
          <w:rFonts w:ascii="Times New Roman" w:cs="Times New Roman" w:eastAsia="Times New Roman" w:hAnsi="Times New Roman"/>
          <w:sz w:val="18"/>
          <w:szCs w:val="18"/>
          <w:color w:val="auto"/>
        </w:rPr>
        <w:t>securityholders), after deducting the underwriting discounts and commissions and</w:t>
      </w:r>
    </w:p>
    <w:p>
      <w:pPr>
        <w:ind w:left="4440"/>
        <w:spacing w:after="0" w:line="203" w:lineRule="auto"/>
        <w:rPr>
          <w:sz w:val="20"/>
          <w:szCs w:val="20"/>
          <w:color w:val="auto"/>
        </w:rPr>
      </w:pPr>
      <w:r>
        <w:rPr>
          <w:rFonts w:ascii="Times New Roman" w:cs="Times New Roman" w:eastAsia="Times New Roman" w:hAnsi="Times New Roman"/>
          <w:sz w:val="18"/>
          <w:szCs w:val="18"/>
          <w:color w:val="auto"/>
        </w:rPr>
        <w:t>estimated  offering  expenses  payable  by  us,  including  the  payment  of  the</w:t>
      </w:r>
    </w:p>
    <w:p>
      <w:pPr>
        <w:ind w:left="4440"/>
        <w:spacing w:after="0" w:line="204" w:lineRule="auto"/>
        <w:rPr>
          <w:sz w:val="20"/>
          <w:szCs w:val="20"/>
          <w:color w:val="auto"/>
        </w:rPr>
      </w:pPr>
      <w:r>
        <w:rPr>
          <w:rFonts w:ascii="Times New Roman" w:cs="Times New Roman" w:eastAsia="Times New Roman" w:hAnsi="Times New Roman"/>
          <w:sz w:val="18"/>
          <w:szCs w:val="18"/>
          <w:color w:val="auto"/>
        </w:rPr>
        <w:t>underwriting discounts and commissions applicable to the sale of shares of common</w:t>
      </w:r>
    </w:p>
    <w:p>
      <w:pPr>
        <w:ind w:left="4440"/>
        <w:spacing w:after="0" w:line="219" w:lineRule="auto"/>
        <w:rPr>
          <w:sz w:val="20"/>
          <w:szCs w:val="20"/>
          <w:color w:val="auto"/>
        </w:rPr>
      </w:pPr>
      <w:r>
        <w:rPr>
          <w:rFonts w:ascii="Times New Roman" w:cs="Times New Roman" w:eastAsia="Times New Roman" w:hAnsi="Times New Roman"/>
          <w:sz w:val="18"/>
          <w:szCs w:val="18"/>
          <w:color w:val="auto"/>
        </w:rPr>
        <w:t>stock by the selling securityholders. We will not receive any proceeds from the sale</w:t>
      </w:r>
    </w:p>
    <w:p>
      <w:pPr>
        <w:ind w:left="4440"/>
        <w:spacing w:after="0" w:line="204" w:lineRule="auto"/>
        <w:rPr>
          <w:sz w:val="20"/>
          <w:szCs w:val="20"/>
          <w:color w:val="auto"/>
        </w:rPr>
      </w:pPr>
      <w:r>
        <w:rPr>
          <w:rFonts w:ascii="Times New Roman" w:cs="Times New Roman" w:eastAsia="Times New Roman" w:hAnsi="Times New Roman"/>
          <w:sz w:val="18"/>
          <w:szCs w:val="18"/>
          <w:color w:val="auto"/>
        </w:rPr>
        <w:t>of shares of our common stock in this offering by the selling securityholders</w:t>
      </w:r>
    </w:p>
    <w:p>
      <w:pPr>
        <w:ind w:left="4440"/>
        <w:spacing w:after="0" w:line="203" w:lineRule="auto"/>
        <w:rPr>
          <w:sz w:val="20"/>
          <w:szCs w:val="20"/>
          <w:color w:val="auto"/>
        </w:rPr>
      </w:pPr>
      <w:r>
        <w:rPr>
          <w:rFonts w:ascii="Times New Roman" w:cs="Times New Roman" w:eastAsia="Times New Roman" w:hAnsi="Times New Roman"/>
          <w:sz w:val="18"/>
          <w:szCs w:val="18"/>
          <w:color w:val="auto"/>
        </w:rPr>
        <w:t>identified in this prospectus supplement, but we have agreed to pay the selling</w:t>
      </w:r>
    </w:p>
    <w:p>
      <w:pPr>
        <w:ind w:left="4440"/>
        <w:spacing w:after="0" w:line="219" w:lineRule="auto"/>
        <w:rPr>
          <w:sz w:val="20"/>
          <w:szCs w:val="20"/>
          <w:color w:val="auto"/>
        </w:rPr>
      </w:pPr>
      <w:r>
        <w:rPr>
          <w:rFonts w:ascii="Times New Roman" w:cs="Times New Roman" w:eastAsia="Times New Roman" w:hAnsi="Times New Roman"/>
          <w:sz w:val="18"/>
          <w:szCs w:val="18"/>
          <w:color w:val="auto"/>
        </w:rPr>
        <w:t>securityholders for certain of their expenses in connection with this offering,</w:t>
      </w:r>
    </w:p>
    <w:p>
      <w:pPr>
        <w:spacing w:after="0" w:line="1" w:lineRule="exact"/>
        <w:rPr>
          <w:sz w:val="20"/>
          <w:szCs w:val="20"/>
          <w:color w:val="auto"/>
        </w:rPr>
      </w:pPr>
    </w:p>
    <w:p>
      <w:pPr>
        <w:ind w:left="4440" w:right="20"/>
        <w:spacing w:after="0" w:line="226" w:lineRule="auto"/>
        <w:rPr>
          <w:sz w:val="20"/>
          <w:szCs w:val="20"/>
          <w:color w:val="auto"/>
        </w:rPr>
      </w:pPr>
      <w:r>
        <w:rPr>
          <w:rFonts w:ascii="Times New Roman" w:cs="Times New Roman" w:eastAsia="Times New Roman" w:hAnsi="Times New Roman"/>
          <w:sz w:val="18"/>
          <w:szCs w:val="18"/>
          <w:color w:val="auto"/>
        </w:rPr>
        <w:t>including all underwriting discounts and commissions applicable to the sale of shares of common stock by the selling securityholders.</w:t>
      </w:r>
    </w:p>
    <w:p>
      <w:pPr>
        <w:spacing w:after="0" w:line="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highlight w:val="white"/>
        </w:rPr>
        <w:t>The principal purposes of this offering are to increase our capitalization and</w:t>
      </w:r>
    </w:p>
    <w:p>
      <w:pPr>
        <w:ind w:left="4440"/>
        <w:spacing w:after="0" w:line="205" w:lineRule="auto"/>
        <w:rPr>
          <w:sz w:val="20"/>
          <w:szCs w:val="20"/>
          <w:color w:val="auto"/>
        </w:rPr>
      </w:pPr>
      <w:r>
        <w:rPr>
          <w:rFonts w:ascii="Times New Roman" w:cs="Times New Roman" w:eastAsia="Times New Roman" w:hAnsi="Times New Roman"/>
          <w:sz w:val="18"/>
          <w:szCs w:val="18"/>
          <w:color w:val="auto"/>
          <w:highlight w:val="white"/>
        </w:rPr>
        <w:t>financial flexibility and create a public market for our common stock in the United</w:t>
      </w:r>
    </w:p>
    <w:p>
      <w:pPr>
        <w:ind w:left="4440"/>
        <w:spacing w:after="0" w:line="204" w:lineRule="auto"/>
        <w:rPr>
          <w:sz w:val="20"/>
          <w:szCs w:val="20"/>
          <w:color w:val="auto"/>
        </w:rPr>
      </w:pPr>
      <w:r>
        <w:rPr>
          <w:rFonts w:ascii="Times New Roman" w:cs="Times New Roman" w:eastAsia="Times New Roman" w:hAnsi="Times New Roman"/>
          <w:sz w:val="18"/>
          <w:szCs w:val="18"/>
          <w:color w:val="auto"/>
          <w:highlight w:val="white"/>
        </w:rPr>
        <w:t>States. We currently intend to use the net proceeds we receive from this offering for</w:t>
      </w:r>
    </w:p>
    <w:p>
      <w:pPr>
        <w:ind w:left="4440"/>
        <w:spacing w:after="0" w:line="219" w:lineRule="auto"/>
        <w:rPr>
          <w:sz w:val="20"/>
          <w:szCs w:val="20"/>
          <w:color w:val="auto"/>
        </w:rPr>
      </w:pPr>
      <w:r>
        <w:rPr>
          <w:rFonts w:ascii="Times New Roman" w:cs="Times New Roman" w:eastAsia="Times New Roman" w:hAnsi="Times New Roman"/>
          <w:sz w:val="18"/>
          <w:szCs w:val="18"/>
          <w:color w:val="auto"/>
        </w:rPr>
        <w:t>general corporate purposes, including working capital, operating expenses, and</w:t>
      </w:r>
    </w:p>
    <w:p>
      <w:pPr>
        <w:ind w:left="4440"/>
        <w:spacing w:after="0" w:line="203" w:lineRule="auto"/>
        <w:rPr>
          <w:sz w:val="20"/>
          <w:szCs w:val="20"/>
          <w:color w:val="auto"/>
        </w:rPr>
      </w:pPr>
      <w:r>
        <w:rPr>
          <w:rFonts w:ascii="Times New Roman" w:cs="Times New Roman" w:eastAsia="Times New Roman" w:hAnsi="Times New Roman"/>
          <w:sz w:val="18"/>
          <w:szCs w:val="18"/>
          <w:color w:val="auto"/>
        </w:rPr>
        <w:t>capital expenditures. We may also use a portion of the net proceeds for acquisitions</w:t>
      </w:r>
    </w:p>
    <w:p>
      <w:pPr>
        <w:ind w:left="4440"/>
        <w:spacing w:after="0" w:line="204" w:lineRule="auto"/>
        <w:rPr>
          <w:sz w:val="20"/>
          <w:szCs w:val="20"/>
          <w:color w:val="auto"/>
        </w:rPr>
      </w:pPr>
      <w:r>
        <w:rPr>
          <w:rFonts w:ascii="Times New Roman" w:cs="Times New Roman" w:eastAsia="Times New Roman" w:hAnsi="Times New Roman"/>
          <w:sz w:val="18"/>
          <w:szCs w:val="18"/>
          <w:color w:val="auto"/>
        </w:rPr>
        <w:t>or  strategic  investments  in  complementary  businesses,  products,  services,  or</w:t>
      </w:r>
    </w:p>
    <w:p>
      <w:pPr>
        <w:ind w:left="4440"/>
        <w:spacing w:after="0" w:line="219" w:lineRule="auto"/>
        <w:rPr>
          <w:sz w:val="20"/>
          <w:szCs w:val="20"/>
          <w:color w:val="auto"/>
        </w:rPr>
      </w:pPr>
      <w:r>
        <w:rPr>
          <w:rFonts w:ascii="Times New Roman" w:cs="Times New Roman" w:eastAsia="Times New Roman" w:hAnsi="Times New Roman"/>
          <w:sz w:val="18"/>
          <w:szCs w:val="18"/>
          <w:color w:val="auto"/>
        </w:rPr>
        <w:t>technologies. However, we do not currently have any agreements or commitments to</w:t>
      </w:r>
    </w:p>
    <w:p>
      <w:pPr>
        <w:ind w:left="4440"/>
        <w:spacing w:after="0" w:line="204" w:lineRule="auto"/>
        <w:rPr>
          <w:sz w:val="20"/>
          <w:szCs w:val="20"/>
          <w:color w:val="auto"/>
        </w:rPr>
      </w:pPr>
      <w:r>
        <w:rPr>
          <w:rFonts w:ascii="Times New Roman" w:cs="Times New Roman" w:eastAsia="Times New Roman" w:hAnsi="Times New Roman"/>
          <w:sz w:val="18"/>
          <w:szCs w:val="18"/>
          <w:color w:val="auto"/>
        </w:rPr>
        <w:t>enter into any such acquisitions or investments. We cannot specify with certainty all</w:t>
      </w:r>
    </w:p>
    <w:p>
      <w:pPr>
        <w:ind w:left="4440"/>
        <w:spacing w:after="0" w:line="203" w:lineRule="auto"/>
        <w:rPr>
          <w:sz w:val="20"/>
          <w:szCs w:val="20"/>
          <w:color w:val="auto"/>
        </w:rPr>
      </w:pPr>
      <w:r>
        <w:rPr>
          <w:rFonts w:ascii="Times New Roman" w:cs="Times New Roman" w:eastAsia="Times New Roman" w:hAnsi="Times New Roman"/>
          <w:sz w:val="18"/>
          <w:szCs w:val="18"/>
          <w:color w:val="auto"/>
        </w:rPr>
        <w:t>of the particular uses for the net proceeds to us from this offering. We will have</w:t>
      </w:r>
    </w:p>
    <w:p>
      <w:pPr>
        <w:ind w:left="4440"/>
        <w:spacing w:after="0" w:line="219" w:lineRule="auto"/>
        <w:rPr>
          <w:sz w:val="20"/>
          <w:szCs w:val="20"/>
          <w:color w:val="auto"/>
        </w:rPr>
      </w:pPr>
      <w:r>
        <w:rPr>
          <w:rFonts w:ascii="Times New Roman" w:cs="Times New Roman" w:eastAsia="Times New Roman" w:hAnsi="Times New Roman"/>
          <w:sz w:val="18"/>
          <w:szCs w:val="18"/>
          <w:color w:val="auto"/>
        </w:rPr>
        <w:t>broad discretion over how to use the net proceeds to us from this offering. We intend</w:t>
      </w:r>
    </w:p>
    <w:p>
      <w:pPr>
        <w:ind w:left="4440"/>
        <w:spacing w:after="0" w:line="204" w:lineRule="auto"/>
        <w:rPr>
          <w:sz w:val="20"/>
          <w:szCs w:val="20"/>
          <w:color w:val="auto"/>
        </w:rPr>
      </w:pPr>
      <w:r>
        <w:rPr>
          <w:rFonts w:ascii="Times New Roman" w:cs="Times New Roman" w:eastAsia="Times New Roman" w:hAnsi="Times New Roman"/>
          <w:sz w:val="18"/>
          <w:szCs w:val="18"/>
          <w:color w:val="auto"/>
          <w:highlight w:val="white"/>
        </w:rPr>
        <w:t>to invest the net proceeds to us from the offering that are not used as described</w:t>
      </w:r>
    </w:p>
    <w:p>
      <w:pPr>
        <w:ind w:left="4440"/>
        <w:spacing w:after="0" w:line="203" w:lineRule="auto"/>
        <w:rPr>
          <w:sz w:val="20"/>
          <w:szCs w:val="20"/>
          <w:color w:val="auto"/>
        </w:rPr>
      </w:pPr>
      <w:r>
        <w:rPr>
          <w:rFonts w:ascii="Times New Roman" w:cs="Times New Roman" w:eastAsia="Times New Roman" w:hAnsi="Times New Roman"/>
          <w:sz w:val="18"/>
          <w:szCs w:val="18"/>
          <w:color w:val="auto"/>
          <w:highlight w:val="white"/>
        </w:rPr>
        <w:t>above in investment-grade, interest-bearing instruments. See the section titled “Use</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highlight w:val="white"/>
        </w:rPr>
        <w:t>of Proceeds” for additional information.</w:t>
      </w:r>
    </w:p>
    <w:p>
      <w:pPr>
        <w:spacing w:after="0" w:line="57" w:lineRule="exact"/>
        <w:rPr>
          <w:sz w:val="20"/>
          <w:szCs w:val="20"/>
          <w:color w:val="auto"/>
        </w:rPr>
      </w:pPr>
    </w:p>
    <w:p>
      <w:pPr>
        <w:ind w:left="700"/>
        <w:spacing w:after="0"/>
        <w:tabs>
          <w:tab w:leader="none" w:pos="44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the section titled “Risk Factors” and the other information included elsewhere in</w:t>
      </w:r>
    </w:p>
    <w:p>
      <w:pPr>
        <w:spacing w:after="0" w:line="2" w:lineRule="exact"/>
        <w:rPr>
          <w:sz w:val="20"/>
          <w:szCs w:val="20"/>
          <w:color w:val="auto"/>
        </w:rPr>
      </w:pPr>
    </w:p>
    <w:p>
      <w:pPr>
        <w:ind w:left="4440" w:right="40"/>
        <w:spacing w:after="0" w:line="226" w:lineRule="auto"/>
        <w:rPr>
          <w:sz w:val="20"/>
          <w:szCs w:val="20"/>
          <w:color w:val="auto"/>
        </w:rPr>
      </w:pPr>
      <w:r>
        <w:rPr>
          <w:rFonts w:ascii="Times New Roman" w:cs="Times New Roman" w:eastAsia="Times New Roman" w:hAnsi="Times New Roman"/>
          <w:sz w:val="18"/>
          <w:szCs w:val="18"/>
          <w:color w:val="auto"/>
        </w:rPr>
        <w:t>this prospectus supplement for a discussion of factors you should carefully consider before deciding to invest in our common stock.</w:t>
      </w:r>
    </w:p>
    <w:p>
      <w:pPr>
        <w:spacing w:after="0" w:line="49" w:lineRule="exact"/>
        <w:rPr>
          <w:sz w:val="20"/>
          <w:szCs w:val="20"/>
          <w:color w:val="auto"/>
        </w:rPr>
      </w:pPr>
    </w:p>
    <w:p>
      <w:pPr>
        <w:ind w:left="700"/>
        <w:spacing w:after="0"/>
        <w:tabs>
          <w:tab w:leader="none" w:pos="4420" w:val="left"/>
        </w:tabs>
        <w:rPr>
          <w:sz w:val="20"/>
          <w:szCs w:val="20"/>
          <w:color w:val="auto"/>
        </w:rPr>
      </w:pPr>
      <w:r>
        <w:rPr>
          <w:rFonts w:ascii="Times New Roman" w:cs="Times New Roman" w:eastAsia="Times New Roman" w:hAnsi="Times New Roman"/>
          <w:sz w:val="18"/>
          <w:szCs w:val="18"/>
          <w:color w:val="auto"/>
        </w:rPr>
        <w:t>Nasdaq Global Select Market trading symbol</w:t>
      </w:r>
      <w:r>
        <w:rPr>
          <w:sz w:val="20"/>
          <w:szCs w:val="20"/>
          <w:color w:val="auto"/>
        </w:rPr>
        <w:tab/>
      </w:r>
      <w:r>
        <w:rPr>
          <w:rFonts w:ascii="Times New Roman" w:cs="Times New Roman" w:eastAsia="Times New Roman" w:hAnsi="Times New Roman"/>
          <w:sz w:val="18"/>
          <w:szCs w:val="18"/>
          <w:color w:val="auto"/>
        </w:rPr>
        <w:t>“LIF”</w:t>
      </w:r>
    </w:p>
    <w:p>
      <w:pPr>
        <w:spacing w:after="0" w:line="266"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69,719,061 shares (including shares underlying all issued and outstanding CDIs) of our common stock outstanding as of March 31, 2024 and excludes:</w:t>
      </w:r>
    </w:p>
    <w:p>
      <w:pPr>
        <w:spacing w:after="0" w:line="108" w:lineRule="exact"/>
        <w:rPr>
          <w:sz w:val="20"/>
          <w:szCs w:val="20"/>
          <w:color w:val="auto"/>
        </w:rPr>
      </w:pPr>
    </w:p>
    <w:p>
      <w:pPr>
        <w:jc w:val="both"/>
        <w:ind w:left="1320" w:right="20" w:hanging="322"/>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6,186,944 shares of our common stock issuable upon the exercise of options to purchase shares of our common stock outstanding as of March 31, 2024, with a weighted-average exercise price of $6.26 per share (including 89,502 shares of our common stock that were issued upon the exercise of options to purchase shares of our common stock between March 31, 2024 and May 21, 2024 and excluding options that were exercised in connection with this offering discussed in detail below);</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10580"/>
          </w:cols>
          <w:pgMar w:left="320" w:top="12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516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hanging="32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5,408,458 shares of our common stock issuable upon settlement of RSUs outstanding as of March 31, 2024;</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1,355,940 shares of our common stock issuable upon settlement of RSUs that were granted after March 31, 2024;</w:t>
      </w:r>
    </w:p>
    <w:p>
      <w:pPr>
        <w:spacing w:after="0" w:line="171" w:lineRule="exact"/>
        <w:rPr>
          <w:rFonts w:ascii="Times New Roman" w:cs="Times New Roman" w:eastAsia="Times New Roman" w:hAnsi="Times New Roman"/>
          <w:sz w:val="18"/>
          <w:szCs w:val="18"/>
          <w:color w:val="auto"/>
        </w:rPr>
      </w:pPr>
    </w:p>
    <w:p>
      <w:pPr>
        <w:jc w:val="both"/>
        <w:ind w:left="1320" w:right="20" w:hanging="322"/>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7,761 shares of our common stock issuable upon the exercise of warrants outstanding as of March 31, 2024, with an exercise price of $6.44 per share (which expire on September 4, 2025) (excluding warrants that were exercised in connection with this offering discussed in detail below);</w:t>
      </w:r>
    </w:p>
    <w:p>
      <w:pPr>
        <w:spacing w:after="0" w:line="121" w:lineRule="exact"/>
        <w:rPr>
          <w:rFonts w:ascii="Times New Roman" w:cs="Times New Roman" w:eastAsia="Times New Roman" w:hAnsi="Times New Roman"/>
          <w:sz w:val="18"/>
          <w:szCs w:val="18"/>
          <w:color w:val="auto"/>
        </w:rPr>
      </w:pPr>
    </w:p>
    <w:p>
      <w:pPr>
        <w:jc w:val="both"/>
        <w:ind w:left="1320" w:hanging="322"/>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88,212 shares of our common stock issuable upon the exercise of warrants outstanding as of March 31, 2024, with an exercise price of $11.96 per share (which expire on July 1, 2026) (excluding warrants that were exercised in connection with this offering discussed in detail below);</w:t>
      </w:r>
    </w:p>
    <w:p>
      <w:pPr>
        <w:spacing w:after="0" w:line="121" w:lineRule="exact"/>
        <w:rPr>
          <w:rFonts w:ascii="Times New Roman" w:cs="Times New Roman" w:eastAsia="Times New Roman" w:hAnsi="Times New Roman"/>
          <w:sz w:val="18"/>
          <w:szCs w:val="18"/>
          <w:color w:val="auto"/>
        </w:rPr>
      </w:pPr>
    </w:p>
    <w:p>
      <w:pPr>
        <w:jc w:val="both"/>
        <w:ind w:left="1320" w:right="20" w:hanging="322"/>
        <w:spacing w:after="0" w:line="261"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325,981 shares of our common stock issuable upon the conversion of outstanding convertible notes as of March 31, 2024 (including 157,685 shares of our common stock that were issued upon the conversion of the September 2021 Convertible Notes (as defined below) in April 2024 and excluding notes that were converted in connection with this offering discussed in detail below); and</w:t>
      </w:r>
    </w:p>
    <w:p>
      <w:pPr>
        <w:spacing w:after="0" w:line="125" w:lineRule="exact"/>
        <w:rPr>
          <w:rFonts w:ascii="Times New Roman" w:cs="Times New Roman" w:eastAsia="Times New Roman" w:hAnsi="Times New Roman"/>
          <w:sz w:val="18"/>
          <w:szCs w:val="18"/>
          <w:color w:val="auto"/>
        </w:rPr>
      </w:pPr>
    </w:p>
    <w:p>
      <w:pPr>
        <w:ind w:left="1320" w:hanging="322"/>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13,816,316 shares of our common stock reserved for future issuance under our 2011 Equity Incentive Plan as of March 31, 2024.</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addition, except as otherwise indicated, all information in this prospectus supplement assumes:</w:t>
      </w:r>
    </w:p>
    <w:p>
      <w:pPr>
        <w:spacing w:after="0" w:line="171" w:lineRule="exact"/>
        <w:rPr>
          <w:sz w:val="20"/>
          <w:szCs w:val="20"/>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settlement, as applicable, of the outstanding stock options, RSUs or warrants described in this prospectus supplement;</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 from the selling securityholders in this offering;</w:t>
      </w:r>
    </w:p>
    <w:p>
      <w:pPr>
        <w:spacing w:after="0" w:line="107" w:lineRule="exact"/>
        <w:rPr>
          <w:rFonts w:ascii="Times New Roman" w:cs="Times New Roman" w:eastAsia="Times New Roman" w:hAnsi="Times New Roman"/>
          <w:sz w:val="18"/>
          <w:szCs w:val="18"/>
          <w:color w:val="auto"/>
        </w:rPr>
      </w:pPr>
    </w:p>
    <w:p>
      <w:pPr>
        <w:ind w:left="13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warrants to purchase shares of our common stock outstanding as of March 31, 2024, which resulted in the issuance of 88,212 shares of common stock in connection with this offering;</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options to purchase shares of our common stock outstanding as of March 31, 2024, which resulted in the issuance of 6,595 shares of common stock in connection with this offering; and</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184,192 shares of our common stock issuable upon the conversion of outstanding convertible notes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580"/>
          </w:cols>
          <w:pgMar w:left="320" w:top="12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21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SUMMARY SELECTED CONDENSED CONSOLIDATED FINANCIAL AND OTHER DATA</w:t>
      </w:r>
    </w:p>
    <w:p>
      <w:pPr>
        <w:spacing w:after="0" w:line="17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tables summarize our selected condensed consolidated financial and other data. We derived the summary selected unaudited condensed consolidated statements of operations data for the three months ended March 31, 2024 and 2023 and the summary selected unaudited condensed consolidated balance sheet data as of March 31, 2024 from our unaudited condensed consolidated financial statements included in our Quarterly Report on Form 10-Q filed with the SEC on May 9, 2024 (“Quarterly Report”). We derived the summary selected consolidated statements of operations data for the fiscal years ended December 31, 2023 and 2022 and the summary selected consolidated balance sheet data as of December 31, 2023 from our audited consolidated financial statements included in our Annual Report on Form 10-K filed with the SEC on February 29, 2024 (“Annual Report”). When you read this summary of consolidated financial and other data, it is important that you read it together with the historical consolidated financial statements and the related notes included in our Annual Report and Quarterly Report, as well as the sections titled “Management’s Discussion and Analysis of Financial Condition and Results of Operations” in each of our Annual Report and Quarterly Report. Our historical results are not necessarily indicative of the results to be expected for any future period, and our interim results are not necessarily indicative of results to be expected for the full year or any other period.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line="283" w:lineRule="auto"/>
        <w:tabs>
          <w:tab w:leader="none" w:pos="9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580"/>
          </w:cols>
          <w:pgMar w:left="320" w:top="12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81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 ARPPC, ARPPS, and ASP)</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tcBorders>
              <w:top w:val="single" w:sz="8" w:color="CCEEFF"/>
            </w:tcBorders>
            <w:shd w:val="clear" w:color="auto" w:fill="CCEEFF"/>
          </w:tcPr>
          <w:p>
            <w:pPr>
              <w:ind w:left="40"/>
              <w:spacing w:after="0" w:line="214"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Monthly Active Users (MAUs) - Global</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84"/>
        </w:trPr>
        <w:tc>
          <w:tcPr>
            <w:tcW w:w="36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 Subscription</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54" w:lineRule="auto"/>
        <w:tabs>
          <w:tab w:leader="none" w:pos="9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jc w:val="both"/>
        <w:ind w:left="1000" w:hanging="326"/>
        <w:spacing w:after="0" w:line="267" w:lineRule="auto"/>
        <w:tabs>
          <w:tab w:leader="none" w:pos="9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March 31, 2024, we refined our calculation of MAUs to exclude certain members who have a delayed account setup. If applied to our results for the quarter ended March 31, 2024, such refinement would have resulted in an immaterial reduction in our total global MAUs and our overall penetration metrics. Because the application of the refined definition was immaterial to all previous periods reported, we have not applied such refinement retroactively and we intend to update our MAUs based on our refined methodology for future reporting periods with the SEC beginning with our results for the second quarter ending June 30, 2024.</w:t>
      </w:r>
    </w:p>
    <w:p>
      <w:pPr>
        <w:spacing w:after="0" w:line="1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Financial Highlights</w:t>
      </w:r>
    </w:p>
    <w:p>
      <w:pPr>
        <w:spacing w:after="0" w:line="175"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We had revenue of $78.2 million in the quarter ended March 31, 2024, an increase of 15% from our $68.1 million of revenue in the quarter ended March 31, 2023. Our net loss for the quarter ended March 31, 2024 was $9.8 million, a $4.3 million reduction from our $14.1 million net loss in the quarter ended March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Adjusted EBITDA was $4.3 million in the quarter ended March 31, 2024, an increase of $3.8 million compared to Adjusted EBITDA of $0.5 million for the quarter ended March 31, 2023. Our cash flow from operations was $10.7 million for the quarter ended March 31, 2024, an improvement of $19.9 million compared to $(9.2) million in the quarter ended March 31, 2023. We had $74.6 million of cash, cash equivalents and restricted cash as of March 31, 2024. Total commissions were $11.8 million and $10.3 million and represented 19.2% and 19.9% of total subscription revenue for the three months ended March 31, 2024 and 2023, respectively.</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Operating Highlights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MAUs grew approximately 4.9 million, or 8%, to 66.4 million for the quarter ended March 31, 2024. We had net Paying Circle additions of 96,000. Global Paying Circles grew to 1.9 million, a 21% increase over the prior year, supported by improved conversion and retention.</w:t>
      </w:r>
    </w:p>
    <w:p>
      <w:pPr>
        <w:spacing w:after="0" w:line="122"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Along with the UK Triple Tier Membership launch in October 2023, we included a price increase for existing UK subscribers in January 2024. The ANZ Triple Tier launched in late April 2024, following a price increase for existing ANZ subscribers.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S-15</w:t>
      </w:r>
    </w:p>
    <w:p>
      <w:pPr>
        <w:sectPr>
          <w:pgSz w:w="11900" w:h="16838" w:orient="portrait"/>
          <w:cols w:equalWidth="0" w:num="1">
            <w:col w:w="10580"/>
          </w:cols>
          <w:pgMar w:left="320" w:top="12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402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 for the Years Ended December 31, 2023 and 2022</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54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4"/>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line="283" w:lineRule="auto"/>
        <w:tabs>
          <w:tab w:leader="none" w:pos="9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 for the Years Ended December 31, 2023 and 2022</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7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w:t>
            </w:r>
          </w:p>
        </w:tc>
        <w:tc>
          <w:tcPr>
            <w:tcW w:w="1420" w:type="dxa"/>
            <w:vAlign w:val="bottom"/>
          </w:tcPr>
          <w:p>
            <w:pPr>
              <w:spacing w:after="0"/>
              <w:rPr>
                <w:sz w:val="13"/>
                <w:szCs w:val="13"/>
                <w:color w:val="auto"/>
              </w:rPr>
            </w:pPr>
          </w:p>
        </w:tc>
      </w:tr>
      <w:tr>
        <w:trPr>
          <w:trHeight w:val="194"/>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5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 ARPPC, ARPPS, and ASP)</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YoY</w:t>
            </w:r>
          </w:p>
        </w:tc>
      </w:tr>
      <w:tr>
        <w:trPr>
          <w:trHeight w:val="216"/>
        </w:trPr>
        <w:tc>
          <w:tcPr>
            <w:tcW w:w="5740" w:type="dxa"/>
            <w:vAlign w:val="bottom"/>
            <w:shd w:val="clear" w:color="auto" w:fill="CCEEFF"/>
          </w:tcPr>
          <w:p>
            <w:pPr>
              <w:ind w:left="40"/>
              <w:spacing w:after="0" w:line="215"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Active Users (MAUs) - Global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0"/>
        </w:trPr>
        <w:tc>
          <w:tcPr>
            <w:tcW w:w="57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 (Adjusted for 2022)</w:t>
            </w:r>
            <w:r>
              <w:rPr>
                <w:rFonts w:ascii="Times New Roman" w:cs="Times New Roman" w:eastAsia="Times New Roman" w:hAnsi="Times New Roman"/>
                <w:sz w:val="23"/>
                <w:szCs w:val="23"/>
                <w:b w:val="1"/>
                <w:bCs w:val="1"/>
                <w:color w:val="auto"/>
                <w:vertAlign w:val="superscript"/>
              </w:rPr>
              <w:t>(1)(2)(3)</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Subscription (ARPPS)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54" w:lineRule="auto"/>
        <w:tabs>
          <w:tab w:leader="none" w:pos="9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jc w:val="both"/>
        <w:ind w:left="1000" w:hanging="326"/>
        <w:spacing w:after="0" w:line="257" w:lineRule="auto"/>
        <w:tabs>
          <w:tab w:leader="none" w:pos="9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as of and for the periods ended December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spacing w:after="0" w:line="2" w:lineRule="exact"/>
        <w:rPr>
          <w:rFonts w:ascii="Times New Roman" w:cs="Times New Roman" w:eastAsia="Times New Roman" w:hAnsi="Times New Roman"/>
          <w:sz w:val="14"/>
          <w:szCs w:val="14"/>
          <w:color w:val="auto"/>
        </w:rPr>
      </w:pPr>
    </w:p>
    <w:p>
      <w:pPr>
        <w:ind w:left="1000" w:hanging="326"/>
        <w:spacing w:after="0" w:line="278" w:lineRule="auto"/>
        <w:tabs>
          <w:tab w:leader="none" w:pos="9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S-16</w:t>
      </w:r>
    </w:p>
    <w:p>
      <w:pPr>
        <w:sectPr>
          <w:pgSz w:w="11900" w:h="16838" w:orient="portrait"/>
          <w:cols w:equalWidth="0" w:num="1">
            <w:col w:w="10580"/>
          </w:cols>
          <w:pgMar w:left="320" w:top="12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1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2023 Financial Highlights</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had revenue of $304.5 million for the year ended December 31, 2023, an increase of 33% from our $228.3 million of revenue for the year ended December 31, 2022. Our net loss for the year ended December 31, 2023 was $28.2 million, a $63.4 million reduction from our $91.6 million net loss for the year ended December 31, 2022. Adjusted EBITDA was $20.6 million for the year ended December 31, 2023, an increase of $60.7 million compared to Adjusted EBITDA of $(40.1) million for the year ended December 31, 2022. Our cash flow from operations was $7.5 million for the year ended December 31, 2023, an improvement of $64.6 million compared to $(57.1) million for the year ended December 31, 2022. We had $70.7 million of cash, cash equivalents and restricted cash as of December 31, 2023.</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had subscription revenue of $220.8 million in the year ended December 31, 2023, an increase of 44% from our $153.3 million of subscription revenue in the year ended December 31, 2022, benefiting from U.S. price increases for new Paying Circles and the repricing of existing U.S. iOS and Android Paying Circles.</w:t>
      </w:r>
    </w:p>
    <w:p>
      <w:pPr>
        <w:spacing w:after="0" w:line="122"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Hardware revenue in 2023 increased 21% year-over-year, with a usual seasonal uplift in the fourth quarter of 2023. Key drivers were the 12% uplift in hardware units sold compared to 2022, stable ASP, and contribution from bundling with Life360 subscriptions. Other revenue of $25.5 million in 2023 was down slightly year-over-year, reflecting the transition to a single data partnership beginning January 2022.</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Total commissions expenses, which are revenue-share payments in connection with subscription sales on third-party app store platforms, were $42.7 million and $31.4 million and represented 19.3% and 20.5% of subscription revenue for the years ended December 31, 2023 and December 31, 2022, respectively.</w:t>
      </w:r>
    </w:p>
    <w:p>
      <w:pPr>
        <w:spacing w:after="0" w:line="122" w:lineRule="exact"/>
        <w:rPr>
          <w:sz w:val="20"/>
          <w:szCs w:val="20"/>
          <w:color w:val="auto"/>
        </w:rPr>
      </w:pPr>
    </w:p>
    <w:p>
      <w:pPr>
        <w:jc w:val="both"/>
        <w:ind w:left="680" w:right="20"/>
        <w:spacing w:after="0" w:line="256" w:lineRule="auto"/>
        <w:rPr>
          <w:sz w:val="20"/>
          <w:szCs w:val="20"/>
          <w:color w:val="auto"/>
        </w:rPr>
      </w:pPr>
      <w:r>
        <w:rPr>
          <w:rFonts w:ascii="Times New Roman" w:cs="Times New Roman" w:eastAsia="Times New Roman" w:hAnsi="Times New Roman"/>
          <w:sz w:val="18"/>
          <w:szCs w:val="18"/>
          <w:color w:val="auto"/>
        </w:rPr>
        <w:t>Our net loss for the year ended December 31, 2023 was $28.2 million, a $63.4 million reduction from our $91.6 million net loss for the year ended December 31, 2022. Adjusted EBITDA and Adjusted EBITDA margin improved from 2022 to 2023, driven by cost structure improvements and increased operating leverage as a result of focusing on financial discipline in our business. Adjusted EBITDA of $20.6 million and net loss of $28.2 million for the year ended December 31, 2023 both delivered a significant improvement from the prior year and reflect meaningful progress on our path to profitability. In 2023, Operating expenses increased just 4% year-over-year, and decreased 1% excluding variable commissions, reflecting our disciplined approach to costs.</w:t>
      </w:r>
    </w:p>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2023 Operating Highlights</w:t>
      </w:r>
    </w:p>
    <w:p>
      <w:pPr>
        <w:spacing w:after="0" w:line="175"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The Company demonstrated significant operating leverage in 2023 with revenue growth of $76.2 million on an operating expense increase of $9.6 million, yielding increasing Adjusted EBITDA margins and positive Adjusted EBITDA in each quarter. Global MAUs grew nearly 13 million or 26% to 61.4 million in 2023, driven by ongoing investment in our core location sharing experience. International MAUs grew 7 million, or 40% to 24.6 million in 2023 as we increased the speed and responsiveness of the app, and achieved international feature parity with the U.S. Our current international Triple Tier markets of focus - Canada, the UK and ANZ - all delivered significant growth, with particular outperformance in the UK and ANZ.</w:t>
      </w:r>
    </w:p>
    <w:p>
      <w:pPr>
        <w:spacing w:after="0" w:line="133"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In 2023, global net Paying Circle additions were 307,000, with global Paying Circles of 1.8 million in 2023, up 21%, despite significant price increases implemented in the third and fourth quarter of 2022 and second quarter of 2023, underscoring the value our subscribers perceive in the Life360 services. Global ARPPC was 25% higher for the year ended December 31, 2023. U.S. ARPPC increased 32% in 2023 compared to 2022, driven by price increases. International Paying Circles increased 43% from 2022 to 2023 to 474,000, benefiting from strong growth in both the UK and ANZ. Triple Tier Membership launched in the UK in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580"/>
          </w:cols>
          <w:pgMar w:left="32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796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gridSpan w:val="8"/>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As of and for the Three Months Ended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7"/>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40"/>
              <w:spacing w:after="0"/>
              <w:rPr>
                <w:sz w:val="20"/>
                <w:szCs w:val="20"/>
                <w:color w:val="auto"/>
              </w:rPr>
            </w:pPr>
            <w:r>
              <w:rPr>
                <w:rFonts w:ascii="Times New Roman" w:cs="Times New Roman" w:eastAsia="Times New Roman" w:hAnsi="Times New Roman"/>
                <w:sz w:val="11"/>
                <w:szCs w:val="11"/>
                <w:i w:val="1"/>
                <w:iCs w:val="1"/>
                <w:color w:val="auto"/>
              </w:rPr>
              <w:t>(in millions, except percentages, ARPPC,</w:t>
            </w: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jc w:val="center"/>
              <w:ind w:right="3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90"/>
              <w:spacing w:after="0" w:line="10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6"/>
        </w:trPr>
        <w:tc>
          <w:tcPr>
            <w:tcW w:w="2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i w:val="1"/>
                <w:iCs w:val="1"/>
                <w:color w:val="auto"/>
              </w:rPr>
              <w:t>ARPPS, and ASP)</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Life360 Core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Monthly Active Users (MAUs) -</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93"/>
        </w:trPr>
        <w:tc>
          <w:tcPr>
            <w:tcW w:w="2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Global</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Paying Circles - Total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Average Revenue per Paying</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123.97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120.70</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119.97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124.17</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121.09</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96.95</w:t>
            </w:r>
          </w:p>
        </w:tc>
        <w:tc>
          <w:tcPr>
            <w:tcW w:w="8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0" w:type="dxa"/>
            <w:vAlign w:val="bottom"/>
          </w:tcPr>
          <w:p>
            <w:pPr>
              <w:spacing w:after="0"/>
              <w:rPr>
                <w:sz w:val="1"/>
                <w:szCs w:val="1"/>
                <w:color w:val="auto"/>
              </w:rPr>
            </w:pPr>
          </w:p>
        </w:tc>
      </w:tr>
      <w:tr>
        <w:trPr>
          <w:trHeight w:val="193"/>
        </w:trPr>
        <w:tc>
          <w:tcPr>
            <w:tcW w:w="2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Circle (ARPPC)</w:t>
            </w: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w:t>
            </w: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Life360 Consolidated (Adjusted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for 2022)</w:t>
            </w:r>
            <w:r>
              <w:rPr>
                <w:rFonts w:ascii="Times New Roman" w:cs="Times New Roman" w:eastAsia="Times New Roman" w:hAnsi="Times New Roman"/>
                <w:sz w:val="18"/>
                <w:szCs w:val="18"/>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Subscriptions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Average Revenue per Paying</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Subscription (ARPPS)</w:t>
            </w: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hardware units shipped</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Selling Price (ASP)</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Annualized Monthly Revenue</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188"/>
        </w:trPr>
        <w:tc>
          <w:tcPr>
            <w:tcW w:w="2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(AMR)</w:t>
            </w: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line="283" w:lineRule="auto"/>
        <w:tabs>
          <w:tab w:leader="none" w:pos="9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Annualized Monthly Revenue</w:t>
      </w:r>
    </w:p>
    <w:p>
      <w:pPr>
        <w:spacing w:after="0" w:line="1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We use AMR to identify the annualized monthly value of active customer agreements at the end of a reporting period. AMR includes the annualized monthly value of Life360 subscription, data and partnership agreements. All</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S-18</w:t>
      </w:r>
    </w:p>
    <w:p>
      <w:pPr>
        <w:sectPr>
          <w:pgSz w:w="11900" w:h="16838" w:orient="portrait"/>
          <w:cols w:equalWidth="0" w:num="1">
            <w:col w:w="10580"/>
          </w:cols>
          <w:pgMar w:left="320" w:top="12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1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components of these agreements that are not expected to recur are excluded. This does not represent revenue under GAAP on an annualized basis, as the operating metric can be impacted by start and end dates and renewal rates.</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An MAU is defined as a unique user who engages with our Life360 branded services each month, which includes both paying and non-paying members. A Life360 MAU is defined as a unique member who engages with our Life360 application each month, which includes both paying and non-paying members.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Paying Circles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Circle</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define ARPPC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75"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Jiobit and Tile brands who have been billed as of the end of the period.</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Subscription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ARPPS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Hardware Units Shipped</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Average Selling Price</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recognized, excluding certain revenue adjustments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such as EBITDA, Adjusted EBITDA and non-GAAP operating expenses, to make operating decisions, including those related to operating expenses, evaluation performance and perform strategic planning and annual budgeting. Additionally, the non-GAAP financial information provides useful</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S-19</w:t>
      </w:r>
    </w:p>
    <w:p>
      <w:pPr>
        <w:sectPr>
          <w:pgSz w:w="11900" w:h="16838" w:orient="portrait"/>
          <w:cols w:equalWidth="0" w:num="1">
            <w:col w:w="10580"/>
          </w:cols>
          <w:pgMar w:left="320" w:top="12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922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information to investors and others in understanding and evaluating our results of operations and operating efficiency, as well as providing useful measures for period-to-period comparisons of our business performance.</w:t>
      </w:r>
    </w:p>
    <w:p>
      <w:pPr>
        <w:spacing w:after="0" w:line="108"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w:t>
      </w:r>
    </w:p>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(i) convertible notes and derivative liability fair value adjustments, (ii) provision for (benefit from) income taxes, (iii) depreciation and amortization, (iv) other income (expense), net, (v) stock-based compensation, (vi) Form 10 transaction costs, (vii) acquisition and integration costs, (viii) workplace restructuring costs, (ix) inventory write-offs, (x) adjustment in connection with membership benefit, (xi) warehouse relocation costs and (xii) the revaluation of contingent consideration. We define Adjusted EBITDA margin as Adjusted EBITDA as a percent of revenue.</w:t>
      </w:r>
    </w:p>
    <w:p>
      <w:pPr>
        <w:spacing w:after="0" w:line="129"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We refer to Adjusted EBITDA and Adjusted EBITDA margin because they are important measures management uses to assess our operating performance and the operating leverage in our business. Because Adjusted EBITDA and Adjusted EBITDA margin facilitate internal comparisons of our historical operating performance, including as an indication of our revenue growth and operating efficiencies, we use them to evaluate the effectiveness of our strategic initiatives and for business planning purposes. We believe that Adjusted EBITDA,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ratings agencies, and other parties in evaluating companies in our industry as a measure of operational performance.</w:t>
      </w:r>
    </w:p>
    <w:p>
      <w:pPr>
        <w:spacing w:after="0" w:line="134"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as alternatives to net income (loss), net income (loss) as a percent of revenue, or any other measure of financial performance calculated and presented in accordance with GAAP. There are a number of limitations related to the use of Adjusted EBITDA and Adjusted EBITDA margin rather than net income (loss) and net income (loss) as a percent of revenue, which are the most directly comparable GAAP measures. Some of these limitations are that each of Adjusted EBITDA and Adjusted EBITDA margin:</w:t>
      </w:r>
    </w:p>
    <w:p>
      <w:pPr>
        <w:spacing w:after="0" w:line="129" w:lineRule="exact"/>
        <w:rPr>
          <w:sz w:val="20"/>
          <w:szCs w:val="20"/>
          <w:color w:val="auto"/>
        </w:rPr>
      </w:pPr>
    </w:p>
    <w:p>
      <w:pPr>
        <w:ind w:left="1320" w:hanging="32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and expense;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income taxes that reduce cash available to us.</w:t>
      </w:r>
    </w:p>
    <w:p>
      <w:pPr>
        <w:spacing w:after="0" w:line="171"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S-20</w:t>
      </w:r>
    </w:p>
    <w:p>
      <w:pPr>
        <w:sectPr>
          <w:pgSz w:w="11900" w:h="16838" w:orient="portrait"/>
          <w:cols w:equalWidth="0" w:num="1">
            <w:col w:w="10580"/>
          </w:cols>
          <w:pgMar w:left="320" w:top="12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721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72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6"/>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158"/>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margins)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(9,777)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(14,071)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(4,413)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(3,146)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(28,171)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(91,629)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(33,557)</w:t>
            </w:r>
          </w:p>
        </w:tc>
        <w:tc>
          <w:tcPr>
            <w:tcW w:w="0" w:type="dxa"/>
            <w:vAlign w:val="bottom"/>
          </w:tcPr>
          <w:p>
            <w:pPr>
              <w:spacing w:after="0"/>
              <w:rPr>
                <w:sz w:val="1"/>
                <w:szCs w:val="1"/>
                <w:color w:val="auto"/>
              </w:rPr>
            </w:pPr>
          </w:p>
        </w:tc>
      </w:tr>
      <w:tr>
        <w:trPr>
          <w:trHeight w:val="171"/>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Net loss margin</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(30)%</w:t>
            </w:r>
          </w:p>
        </w:tc>
        <w:tc>
          <w:tcPr>
            <w:tcW w:w="0" w:type="dxa"/>
            <w:vAlign w:val="bottom"/>
          </w:tcPr>
          <w:p>
            <w:pPr>
              <w:spacing w:after="0"/>
              <w:rPr>
                <w:sz w:val="1"/>
                <w:szCs w:val="1"/>
                <w:color w:val="auto"/>
              </w:rPr>
            </w:pPr>
          </w:p>
        </w:tc>
      </w:tr>
      <w:tr>
        <w:trPr>
          <w:trHeight w:val="147"/>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Add (deduct):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Convertible notes fair value</w:t>
            </w:r>
          </w:p>
        </w:tc>
        <w:tc>
          <w:tcPr>
            <w:tcW w:w="180" w:type="dxa"/>
            <w:vAlign w:val="bottom"/>
          </w:tcPr>
          <w:p>
            <w:pPr>
              <w:spacing w:after="0"/>
              <w:rPr>
                <w:sz w:val="9"/>
                <w:szCs w:val="9"/>
                <w:color w:val="auto"/>
              </w:rPr>
            </w:pPr>
          </w:p>
        </w:tc>
        <w:tc>
          <w:tcPr>
            <w:tcW w:w="7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(1,786)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54"/>
        </w:trPr>
        <w:tc>
          <w:tcPr>
            <w:tcW w:w="1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adjustment</w:t>
            </w:r>
            <w:r>
              <w:rPr>
                <w:rFonts w:ascii="Times New Roman" w:cs="Times New Roman" w:eastAsia="Times New Roman" w:hAnsi="Times New Roman"/>
                <w:sz w:val="7"/>
                <w:szCs w:val="7"/>
                <w:color w:val="auto"/>
              </w:rPr>
              <w:t>(1)</w:t>
            </w: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Derivative liability fair value</w:t>
            </w: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1,707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adjustment</w:t>
            </w:r>
            <w:r>
              <w:rPr>
                <w:rFonts w:ascii="Times New Roman" w:cs="Times New Roman" w:eastAsia="Times New Roman" w:hAnsi="Times New Roman"/>
                <w:sz w:val="7"/>
                <w:szCs w:val="7"/>
                <w:color w:val="auto"/>
              </w:rPr>
              <w:t>(1)</w:t>
            </w: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1,394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7"/>
                <w:szCs w:val="7"/>
                <w:color w:val="auto"/>
              </w:rPr>
              <w:t>(2)</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9,141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9,199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876</w:t>
            </w:r>
          </w:p>
        </w:tc>
        <w:tc>
          <w:tcPr>
            <w:tcW w:w="0" w:type="dxa"/>
            <w:vAlign w:val="bottom"/>
          </w:tcPr>
          <w:p>
            <w:pPr>
              <w:spacing w:after="0"/>
              <w:rPr>
                <w:sz w:val="1"/>
                <w:szCs w:val="1"/>
                <w:color w:val="auto"/>
              </w:rPr>
            </w:pPr>
          </w:p>
        </w:tc>
      </w:tr>
      <w:tr>
        <w:trPr>
          <w:trHeight w:val="170"/>
        </w:trPr>
        <w:tc>
          <w:tcPr>
            <w:tcW w:w="1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Other income (expense), net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(1,431)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(3,228)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20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EBITDA</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(4,084)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(12,619)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(1,967)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(4,212)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(20,842)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(85,212)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(31,386)</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80" w:type="dxa"/>
            <w:vAlign w:val="bottom"/>
          </w:tcPr>
          <w:p>
            <w:pPr>
              <w:spacing w:after="0"/>
              <w:rPr>
                <w:sz w:val="12"/>
                <w:szCs w:val="12"/>
                <w:color w:val="auto"/>
              </w:rPr>
            </w:pPr>
          </w:p>
        </w:tc>
        <w:tc>
          <w:tcPr>
            <w:tcW w:w="78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8,261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8,955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9,269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9,454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10,834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38,512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34,680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11,938</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Form 10 transaction costs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9"/>
              </w:rPr>
              <w:t>Acquisition and integration costs</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11,949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2,744</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Workplace restructuring costs</w:t>
            </w:r>
            <w:r>
              <w:rPr>
                <w:rFonts w:ascii="Times New Roman" w:cs="Times New Roman" w:eastAsia="Times New Roman" w:hAnsi="Times New Roman"/>
                <w:sz w:val="7"/>
                <w:szCs w:val="7"/>
                <w:color w:val="auto"/>
              </w:rPr>
              <w:t>(3)</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3,254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4,024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8"/>
              </w:rPr>
              <w:t>Write-off of obsolete inventory</w:t>
            </w:r>
            <w:r>
              <w:rPr>
                <w:rFonts w:ascii="Times New Roman" w:cs="Times New Roman" w:eastAsia="Times New Roman" w:hAnsi="Times New Roman"/>
                <w:sz w:val="7"/>
                <w:szCs w:val="7"/>
                <w:color w:val="auto"/>
                <w:w w:val="98"/>
              </w:rPr>
              <w:t>(4)</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916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4"/>
        </w:trPr>
        <w:tc>
          <w:tcPr>
            <w:tcW w:w="1500" w:type="dxa"/>
            <w:vAlign w:val="bottom"/>
            <w:shd w:val="clear" w:color="auto" w:fill="CCEEFF"/>
          </w:tcPr>
          <w:p>
            <w:pPr>
              <w:ind w:left="40"/>
              <w:spacing w:after="0" w:line="114" w:lineRule="exact"/>
              <w:rPr>
                <w:sz w:val="20"/>
                <w:szCs w:val="20"/>
                <w:color w:val="auto"/>
              </w:rPr>
            </w:pPr>
            <w:r>
              <w:rPr>
                <w:rFonts w:ascii="Times New Roman" w:cs="Times New Roman" w:eastAsia="Times New Roman" w:hAnsi="Times New Roman"/>
                <w:sz w:val="11"/>
                <w:szCs w:val="11"/>
                <w:color w:val="auto"/>
              </w:rPr>
              <w:t>Adjustment in connection with</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(2,094)</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(2,172)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membership benefit</w:t>
            </w:r>
            <w:r>
              <w:rPr>
                <w:rFonts w:ascii="Times New Roman" w:cs="Times New Roman" w:eastAsia="Times New Roman" w:hAnsi="Times New Roman"/>
                <w:sz w:val="7"/>
                <w:szCs w:val="7"/>
                <w:color w:val="auto"/>
              </w:rPr>
              <w:t>(5)</w:t>
            </w: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Warehouse relocation costs</w:t>
            </w:r>
            <w:r>
              <w:rPr>
                <w:rFonts w:ascii="Times New Roman" w:cs="Times New Roman" w:eastAsia="Times New Roman" w:hAnsi="Times New Roman"/>
                <w:sz w:val="7"/>
                <w:szCs w:val="7"/>
                <w:color w:val="auto"/>
              </w:rPr>
              <w:t>(6)</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4"/>
        </w:trPr>
        <w:tc>
          <w:tcPr>
            <w:tcW w:w="1500" w:type="dxa"/>
            <w:vAlign w:val="bottom"/>
            <w:shd w:val="clear" w:color="auto" w:fill="CCEEFF"/>
          </w:tcPr>
          <w:p>
            <w:pPr>
              <w:ind w:left="40"/>
              <w:spacing w:after="0" w:line="114" w:lineRule="exact"/>
              <w:rPr>
                <w:sz w:val="20"/>
                <w:szCs w:val="20"/>
                <w:color w:val="auto"/>
              </w:rPr>
            </w:pPr>
            <w:r>
              <w:rPr>
                <w:rFonts w:ascii="Times New Roman" w:cs="Times New Roman" w:eastAsia="Times New Roman" w:hAnsi="Times New Roman"/>
                <w:sz w:val="11"/>
                <w:szCs w:val="11"/>
                <w:color w:val="auto"/>
              </w:rPr>
              <w:t>(Gain)/loss on revaluation of</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(5,279)</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3,600</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contingent consideration</w:t>
            </w: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Adjusted EBITDA</w:t>
            </w: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4,282</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5,686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5,479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8,887</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20,559</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(40,096)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(13,104)</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i w:val="1"/>
                <w:iCs w:val="1"/>
                <w:color w:val="auto"/>
              </w:rPr>
              <w:t>Adjusted EBITDA margin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8 %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7 %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change in fair value of the September 2021 Convertible Notes and derivative liability associated with the July 2021 Convertible Notes.</w:t>
      </w:r>
    </w:p>
    <w:p>
      <w:pPr>
        <w:spacing w:after="0" w:line="1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on fixed assets and amortization of acquired intangible assets.</w:t>
      </w:r>
    </w:p>
    <w:p>
      <w:pPr>
        <w:spacing w:after="0" w:line="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personnel and severance related expenses in connection with the workplace restructuring announced on January 12, 2023.</w:t>
      </w:r>
    </w:p>
    <w:p>
      <w:pPr>
        <w:spacing w:after="0" w:line="11"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write-off of raw materials that have no alternative use to the Company following the decision to halt development.</w:t>
      </w:r>
    </w:p>
    <w:p>
      <w:pPr>
        <w:spacing w:after="0" w:line="14" w:lineRule="exact"/>
        <w:rPr>
          <w:rFonts w:ascii="Times New Roman" w:cs="Times New Roman" w:eastAsia="Times New Roman" w:hAnsi="Times New Roman"/>
          <w:sz w:val="14"/>
          <w:szCs w:val="14"/>
          <w:color w:val="auto"/>
        </w:rPr>
      </w:pPr>
    </w:p>
    <w:p>
      <w:pPr>
        <w:ind w:left="1000" w:hanging="326"/>
        <w:spacing w:after="0" w:line="261" w:lineRule="auto"/>
        <w:tabs>
          <w:tab w:leader="none" w:pos="9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an adjustment recorded to reduce product costs recorded to cost of revenue in connection with the discontinuation of certain battery related membership benefits.</w:t>
      </w: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warehouse relocation costs in relation to the Company’s transition to a new logistics partner.</w:t>
      </w:r>
    </w:p>
    <w:p>
      <w:pPr>
        <w:spacing w:after="0" w:line="1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Operating Expense Reconciliation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Non-GAAP operating expenses present direct and indirect expenses adjusted for non-cash expenses, such as stock-based compensation, depreciation and amortization, and convertible notes and derivative liability fair value adjustments, and non-recurring expenses, such as workplace restructuring costs and the write-off of obsolete inventory. We believe non-GAAP operating expense information is useful to investors and others in understanding and evaluating our operating efficiency as well as providing a useful measure for period-to-period comparisons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580"/>
          </w:cols>
          <w:pgMar w:left="32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4770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477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our business performance. A reconciliation of GAAP operating expenses to non-GAAP operating expenses has been provided as supplementary information below.</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6"/>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98"/>
              <w:spacing w:after="0" w:line="10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Research and development expense,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24,569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50,994</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(5,477)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rPr>
              <w:t>Total Research and development, Non-GAAP</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19,075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43,537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Sales and marketing expense,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25,741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47,473</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4"/>
              </w:rPr>
              <w:t>(1,058)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380" w:type="dxa"/>
            <w:vAlign w:val="bottom"/>
            <w:tcBorders>
              <w:top w:val="single" w:sz="8" w:color="CCEEFF"/>
            </w:tcBorders>
            <w:shd w:val="clear" w:color="auto" w:fill="CCEEFF"/>
          </w:tcPr>
          <w:p>
            <w:pPr>
              <w:ind w:left="40"/>
              <w:spacing w:after="0" w:line="116" w:lineRule="exact"/>
              <w:rPr>
                <w:sz w:val="20"/>
                <w:szCs w:val="20"/>
                <w:color w:val="auto"/>
              </w:rPr>
            </w:pPr>
            <w:r>
              <w:rPr>
                <w:rFonts w:ascii="Times New Roman" w:cs="Times New Roman" w:eastAsia="Times New Roman" w:hAnsi="Times New Roman"/>
                <w:sz w:val="13"/>
                <w:szCs w:val="13"/>
                <w:color w:val="auto"/>
              </w:rPr>
              <w:t>Total Sales and marketing expense, Non-</w:t>
            </w: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23,043</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21,653</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23,883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23,719</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90,912</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83,811</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GAAP</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General and administrative expense,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14,082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23,670</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(2,825)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(6,344)</w:t>
            </w:r>
          </w:p>
        </w:tc>
        <w:tc>
          <w:tcPr>
            <w:tcW w:w="0" w:type="dxa"/>
            <w:vAlign w:val="bottom"/>
          </w:tcPr>
          <w:p>
            <w:pPr>
              <w:spacing w:after="0"/>
              <w:rPr>
                <w:sz w:val="1"/>
                <w:szCs w:val="1"/>
                <w:color w:val="auto"/>
              </w:rPr>
            </w:pPr>
          </w:p>
        </w:tc>
      </w:tr>
      <w:tr>
        <w:trPr>
          <w:trHeight w:val="116"/>
        </w:trPr>
        <w:tc>
          <w:tcPr>
            <w:tcW w:w="238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3"/>
                <w:szCs w:val="13"/>
                <w:color w:val="auto"/>
              </w:rPr>
              <w:t>Total General and administrative expense,</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11,091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39,745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28,821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13,681</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Non-GAAP</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Operating expenses,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64,392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122,137</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4"/>
              </w:rPr>
              <w:t>(1,078)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(9,027)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(11,416)</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(6,344)</w:t>
            </w: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Operating expenses,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57,293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50,964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54,049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206,802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195,159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103,793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0560"/>
          </w:cols>
          <w:pgMar w:left="320" w:top="12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and under the heading titled “Risk Factors” contained in our most recent Annual Report on Form 10-K, as well as any amendments thereto reflected in subsequent Quarterly Reports on Form 10-Q and other filings with the SEC, which are incorporated by reference into this prospectus supplement, in their entirety, together with other information in this prospectus supplement,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 and CDIs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CDIs has been, and common stock may be, volatile, which could cause the value of our common stock to decline.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CDIs on the ASX has been, and the trading price of our common stock may be, volatile, and could be subject to wide fluctuations. In addition, the trading volume in our CDIs and common stock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spacing w:after="0" w:line="12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press releases, announcements and filings with the SEC and ASX;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prices and trading volumes of technology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political conditions, financial markets, and/or the technology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securityholders;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and/or changes in their recommendations and estimates of 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prices and trading volumes of our CDIs or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or incorporated by reference into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our listing on more than one stock exchange may result in price variations between the markets and volatility in our stock price. Our CDIs are currently listed on the ASX and our common stock is listed on the Nasdaq Global Select Market. Trading in our common stock and CDIs will therefore take place in different currencies (i.e., in Australian dollars on the ASX and in U.S. dollars on the Nasdaq Global Select Market),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Nasdaq Global Select Market. Such arbitrage activities could cause our stock price in the market with the higher value to decrease to the price set by the market with the lower value and could also lead to significant volatility in the price of our common stock or CDIs. Additionally, while we have historically transacted in U.S. dollars, we have transacted in some foreign currencies, such as the Australian Dollar, and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CDIs on the ASX or common stock on Nasdaq Global Select Market could be lowered.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initial public offering price of our common stock may not be indicative of the market price of our common stock after this offering.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was determined by negotiations between us, the selling securityholders, and representatives of the underwriters, based on numerous factors which we discuss in the section titled “Underwriting,” and may not be indicative of the market price of our common stock after this offering. If you purchase our common stock, you may not be able to resell those shares at or above the initial public offering price.</w:t>
      </w:r>
    </w:p>
    <w:p>
      <w:pPr>
        <w:spacing w:after="0" w:line="11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be sustained. You may be unable to sell your shares of our common stock at or above the price at which you purchased them.</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and traded on Nasdaq Global Select Market. Prior to listing on Nasdaq Global Select Market, there has been no public market for our common stock in the United States. An active, liquid, and orderly trading market for our common stock may not initially develop or be sustained, which could significantly depress the trading price of our common stock and/or result in significant volatility, which could affect your ability to sell your shares of our common stock.</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continue to publish research or publish inaccurate or unfavorable research about our business, our stock price and trading volume could decline.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may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research analysts do not currently provide coverage of our common stock, and we cannot assure you that any equity research analysts will adequately provide research coverage of our common stock after the listing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on Nasdaq Global Select Market. A lack of adequate research coverage may harm the liquidity and trading price of our common stock. To the extent equity research analysts do provide research coverage of our common stock, we will not have any control over the content and opinions included in their reports. The trading price of our common stock could decline if one or more equity research analysts downgrade our stock or publish other unfavorable commentary or research. If one or more equity research analysts cease coverage of our company, or fail to regularly publish reports on us, the demand for our common stock could decrease, which in turn could cause our trading price or trading volume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investment-grade, interest-bearing instruments such as money market funds, corporate debt securities, certificates of deposit, commercial paper, and U.S. government and government agency debt securities that may not generate a high yield for our securityholders. If we do not use the net proceeds that we receive in this offering effectively, our business, financial condition, results of operations, and prospects could be harmed, and the market price of our common stock could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the closing of this offering,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based upon the price of this offering, and therefore, may take steps to sell their shares or otherwise secure the unrecognized gains on those shares. We are unable to predict the timing of or the effect that such sales may have on the prevailing market price of our common stock.</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all of our directors and executive officers, and certain holders of our common stock and securities exercisable for or convertible into our common stock, have entered into lock-up agreements with the underwriters and/or agreements with market stand-off provisions that restrict our and their ability to sell or transfer shares of our capital stock, and securities convertible into or exercisable or exchangeable for shares of our capital stock, for a period of 90 days from the date of this prospectus supplement, which we refer to as the lock-up period, subject to certain customary exceptions and certain provisions that provide for the early release of certain shares. See the section titled “Underwriting” for a discussion of such exceptions that may allow for sales during the lock-up period. In addition, Goldman Sachs &amp; Co. LLC may, in its sole discretion, release certain securityholders from the lock-up agreements prior to the end of the lock-up period. If not earlier released, all of our shares of our common stock, other than those sold in this offering, which are freely tradable, will become eligible for sale upon expiration of the lock-up period, except for any shares held by our affiliates as defined in Rule 144 under Securities Act.</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of March 31, 2024, up to 11,595,402 shares of our common stock may be issued upon exercise of outstanding stock options or vesting and settlement of outstanding RSUs, and up to 13,816,316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Based on 69,440,062 shares outstanding as of March 31, 2024, on the closing of this offering, we will have outstanding a total of 73,422,765 shares of common stock, which reflects the issuance by us of 3,703,704 shares of common stock and gives effect to (i) the cash exercise of warrants to purchase 88,212 shares of our common stock with an exercise price of $11.96 per share (which expire on July 1, 2026) outstanding as of March 31, 2024, (ii) the cash exercise of options to purchase 6,595 shares of our common stock outstanding as of March 31, 2024, (iii) the issuance of 184,192 shares of our common stock issuable upon the conversion of outstanding convertible notes as of March 31, 2024, in each case in connection with this offering.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our common stock you purchase in this offering.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public offering price of our common stock is substantially higher than the net tangible book value per share of our common stock immediately after this offering. If you purchase shares of our common stock in this offering, you will suffer immediate dilution of $25.03 per share, representing the difference between our as adjusted net tangible book value per share after giving effect to the sale of our common stock in this offering and the initial public offering price of $27.00 per share. See the section titled “Dilution.”</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ASX Listing Rules and associated Australian regulatory requirements, and we list our common stock on Nasdaq Global Select Market as well, which has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after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Australia generally or to the same extent, or vice versa.</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ASX Listing Rules and associated Australian regulatory requirements may limit our ability to take certain actions typically performed by a U.S. company. For example, the ASX Listing Rules limit the amount of equity securities (which includes common stock and other securities convertible into common stock (such as options, warrants, RSUs and convertible securities), that a listed company can issue or agree to issue in any 12 month period without the approval of its stockholders to 15% of the number of shares of common stock on issue at the start of that 12 month period, unless an exception applies. Failure to obtain this approval may make it more difficult for us to issue equity securities in the future at a time and at a price that we deem appropriate. The ASX Listing Rules also require stockholder approval for the granting of options and RSUs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2001 (Cth) of Australia, which may include the need to obtain stockholder approval to do so.</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ASX Listing Rules may limit our ability to issue equity securities, either as a counter-measure to the takeover bid or to fund operations.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limitations and prohibitions under the ASX Listing Rules will cease to apply to us if we change our admission category on the ASX to a “Foreign Exempt Listing”. Any change to our admission category will be subject to the ASX Listing Rules, and we cannot guarantee that we will be able to change our admission category.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sufficient cash funds, we may cease trading on the ASX.</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able to maintain sufficient funds to fund our activities or if ASX considers that our CDIs no longer meet the criteria for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and Delaware law may inhibit a takeover, which could limit the price investors might be willing to pay in the future for our common stock.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subject to certain exceptions, that the Court of Chancery of the State of Delaware is the exclusive forum for certain stockholder litigation matters and the federal district courts of the U.S. are the exclusive forum for actions arising under the Securities Act, which could limit our stockholders’ ability to bring a claim in a judicial forum that they find more favorable for disputes with us or our directors, officers, employees or stockholders.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forum,(A)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DGCL or our Certificate of Incorporation or Bylaws or (4) any action or proceeding asserting a claim governed by the internal affairs doctrine, and (B) the federal district courts of the U.S. will be the exclusive forum for the resolution of any complaint asserting a cause of action under the Securities Act, including all causes of action asserted against any defendant named in such complaint. The foregoing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one or both of the choice of forum provisions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“might,” “plan,” “possible,” “potential,” “predict,” “seek,” “should,” “will,” “would,” or the negative of these words or other similar terms or expressions. These forward-looking statements include, but are not limited to, statements concerning the following:</w:t>
      </w:r>
    </w:p>
    <w:p>
      <w:pPr>
        <w:spacing w:after="0" w:line="138"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penetrate our existing member base, maintain and expand our member base, increase monetization of our member base, and leverage our core experience to expand in new use cases;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brand awareness and customer adoption of our platform through various programs and digital and broad-scale advertising;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developments, and challenges in our industry, business and in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and business plan and our ability to effectively manage our growth and meet future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offerings internationally and the significance of our global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location sharing services, tracking products and digital subscription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increase our targeted marketing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 including suppliers, manufacturers and fulfillment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the success of, new monetization features, such as the introduction of advertisements in our app, and improve on existing features;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skilled personnel, including key members of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Tile and Jiobit, and to expand and diversify our operations through strategic acquisitions and partnerships;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value and opportunities for Tile;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partnership with Hubble and successfully build a global finding network;</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future financial and operating performance, including our expectations regarding our revenue, cost of revenue, operating expenses, subscription revenue, hardware revenue, consolidated revenue, Adjusted EBITDA, operating cash flow and our ability to achieve or maintain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 economic downturn or economic uncertainty on consumer discretionary spending and demand for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position;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price increases and the impact of past price increases on future results of operations and churn;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engagement, conversion and retention and subscriber churn;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 savings, including through reduced commissions;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use of proceeds from offerings under this prospectus and any related prospectus supplement.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are subject to risks and uncertainties. Given these uncertainties, you should not place undue reliance on these forward-looking statements. For example, we may be unable to realize the potential benefits of the proposed partnership with Hubble because (i) if we fail to reach exclusive, definitive agreements with Hubble, our competitors could execute such agreements in lieu of or as well as us; (ii) a competitor of ours may gain access to Hubble’s technology, or develop or acquire rights to similar or better technology; (iii) our competitors may develop superior technology; (iv) we may not be successful in launching a sufficient number of satellites to provide coverage that is commercially beneficial; (v) we do not believe this technology will provide for viable consumer products until 2028, and that timeline could be materially longer; and (vi) Hubble’s technology may be unable to support our products, or a sufficiently large number of devices to make the partnership commercially beneficial. We discuss in greater detail many of these risks and uncertainties under the heading “Risk Factors” contained in this prospectus supplement and the accompanying prospectus, in any free writing prospectuses we may authorize for use in connection with a specific offering, and in our most recent Annual Report on Form 10-K, as updated, amended, or superseded by the risks and uncertainties described under similar headings in our subsequent Quarterly Reports on Form 10-Q and other filings with the SEC,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the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this prospectus supplement, we reference information and statistics regarding the industry and market within which we compete and our competitive position. We have obtained this information and statistics from various independent third-party sources, including independent industry publications, reports by market research firms and other independent sources. Some data and other information contained in this prospectus supplement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in this prospectus supplement and under similar headings in the documents incorporated by reference, including our Quarterly Report. These and other factors could cause our future performance to differ materially from our assumptions and estimates. See the section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$83.1 million (or approximately $81.5 million if the underwriters exercise their option to purchase additional shares of our common stock from the selling securityholders) after deducting the underwriting discounts and commissions and estimated offering expenses payable by us, including the payment of the underwriting discounts and commissions applicable to the sale of shares of common stock by the selling securityholders. We will not receive any of the proceeds from the sale of our common stock in this offering by the selling securityholders identified in this prospectus supplement, but we have agreed to pay the selling securityholders for certain of their expenses in connection with this offering, including all underwriting discounts and commissions applicable to the sale of shares of common stock by the selling securityholders.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and create a public market for our common stock in the United States. We currently intend to use the net proceeds we receive from this offering for general corporate purposes, including working capital, operating expenses, and capital expenditures. We may also use a portion of the net proceeds for acquisitions or strategic investments in complementary businesses, products, services, or technologies. However, we do not currently have agreements or commitments to enter into any such acquisitions or investments. We cannot specify with certainty all of the particular uses for the net proceeds to us from this offering. We will have broad discretion over how to use the net proceeds to us from this offering. We intend to invest the net proceeds to us from the offering that are not used as described above in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 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initial public offering price per share and the as adjusted net tangible book value per share of our common stock after this offering.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we had a net tangible book value of $61.3 million, or $0.88 per share. After giving effect to the sale of 3,703,704 shares of our common stock in this offering at the initial public offering price of $27.00 per share, and after deducting the underwriting discounts and commissions and estimated offering expenses payable by us, our as adjusted net tangible book value as of March 31, 2024 would have been approximately $144.4 million, or approximately $1.97 per share. This amount represents an immediate increase in net tangible book value of approximately $1.09 per share to our existing securityholders and an immediate dilution in net tangible book value of approximately $25.03 per share to new investors purchasing shares of our common stock in this offering.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20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tangible book value per share as of March 31, 2024</w:t>
            </w:r>
          </w:p>
        </w:tc>
        <w:tc>
          <w:tcPr>
            <w:tcW w:w="2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0.88</w:t>
            </w:r>
          </w:p>
        </w:tc>
        <w:tc>
          <w:tcPr>
            <w:tcW w:w="96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2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1.09</w:t>
            </w:r>
          </w:p>
        </w:tc>
        <w:tc>
          <w:tcPr>
            <w:tcW w:w="96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040" w:type="dxa"/>
            <w:vAlign w:val="bottom"/>
          </w:tcPr>
          <w:p>
            <w:pPr>
              <w:spacing w:after="0"/>
              <w:rPr>
                <w:sz w:val="19"/>
                <w:szCs w:val="19"/>
                <w:color w:val="auto"/>
              </w:rPr>
            </w:pP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20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March 31, 2024, on the as adjusted basis described above, the number of shares of our common stock purchased or to be purchased from us, the total consideration paid or to be paid to us, and the average price per share paid or to be paid to us by existing securityholders and new investors participating in this offering at the initial public offering price of $27.00 per share, before deducting the underwriting discounts and commissions and estimated offering expenses payable by us. As the table below shows, new investors participating in this offering will pay an average price per share substantially higher than our existing securityholders paid.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5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40" w:type="dxa"/>
            <w:vAlign w:val="bottom"/>
          </w:tcPr>
          <w:p>
            <w:pPr>
              <w:spacing w:after="0"/>
              <w:rPr>
                <w:sz w:val="16"/>
                <w:szCs w:val="16"/>
                <w:color w:val="auto"/>
              </w:rPr>
            </w:pPr>
          </w:p>
        </w:tc>
        <w:tc>
          <w:tcPr>
            <w:tcW w:w="15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5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6"/>
          </w:tcPr>
          <w:p>
            <w:pPr>
              <w:jc w:val="center"/>
              <w:ind w:left="468"/>
              <w:spacing w:after="0"/>
              <w:rPr>
                <w:sz w:val="20"/>
                <w:szCs w:val="20"/>
                <w:color w:val="auto"/>
              </w:rPr>
            </w:pPr>
            <w:r>
              <w:rPr>
                <w:rFonts w:ascii="Times New Roman" w:cs="Times New Roman" w:eastAsia="Times New Roman" w:hAnsi="Times New Roman"/>
                <w:sz w:val="14"/>
                <w:szCs w:val="14"/>
                <w:i w:val="1"/>
                <w:iCs w:val="1"/>
                <w:color w:val="auto"/>
              </w:rPr>
              <w:t>(in thousands, except percentages and per share prices)</w:t>
            </w: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95.0 %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$535,793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84.3 %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investors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15.7 %</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our existing securityholders would own 91.0%, and the investors purchasing shares of our common stock in this offering would own 9.0% of the total number of shares of our common stock outstanding immediately after the closing of this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69,719,061 shares of our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excludes:</w:t>
      </w:r>
    </w:p>
    <w:p>
      <w:pPr>
        <w:spacing w:after="0" w:line="153" w:lineRule="exact"/>
        <w:rPr>
          <w:sz w:val="20"/>
          <w:szCs w:val="20"/>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6,186,944 shares of our common stock issuable upon the exercise of options to purchase shares of our common stock outstanding as of March 31, 2024, with a weighted-average exercise price of $6.26 per share (including 89,502 shares of our common stock that were issued upon the exercise of options to purchase shares of our common stock between March 31, 2024 and May 21, 2024 and excluding options that were exercised in connection with this offering discussed in detail below);</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5,408,458 shares of our common stock issuable upon settlement of RSUs outstanding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1,355,940 shares of our common stock issuable upon settlement of RSUs that were granted after March 31, 2024;</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7,761 shares of our common stock issuable upon the exercise of warrants outstanding as of March 31, 2024, with an exercise price of $6.44 per share (which expire on September 4, 2025) (excluding warrants that were exercised in connection with this offering discussed in detail below);</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88,212 shares of our common stock issuable upon the exercise of warrants outstanding as of March 31, 2024, with an exercise price of $11.96 per share (which expire on July 1, 2026) (excluding warrants that were exercised in connection with this offering discussed in detail below);</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325,981 shares of our common stock issuable upon the conversion of outstanding convertible notes as of March 31, 2024 (including 157,685 shares of our common stock that were issued upon the conversion of the September 2021 Convertible Notes (as defined below) in April 2024 and excluding notes that were converted in connection with this offering discussed in detail below);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13,816,316 shares of our common stock reserved for future issuance under our 2011 Equity Incentive Plan as of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assumes:</w:t>
      </w:r>
    </w:p>
    <w:p>
      <w:pPr>
        <w:spacing w:after="0" w:line="171" w:lineRule="exact"/>
        <w:rPr>
          <w:sz w:val="20"/>
          <w:szCs w:val="20"/>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warrants to purchase shares of our common stock outstanding as of March 31, 2024, which resulted in the issuance of 88,212 shares of common stock in connection with this offering;</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options to purchase shares of our common stock outstanding as of March 31, 2024, which resulted in the issuance of 6,595 shares of common stock in connection with this offering;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184,192 shares of our common stock issuable upon the conversion of outstanding convertible notes as of March 31, 2024.</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any additional outstanding options or warrants are exercised or outstanding RSUs settle, there will be further dilution to new investors. If all of such outstanding options and warrants had been exercised and RSUs had settled as of March 31, 2024, the as adjusted net tangible book value per share after this offering would be $1.75, and total dilution per share to new investors would be $25.25, at the initial public offering price of $27.00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AND SELLING SECURITYHOLDERS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(including shares underlying all issued and outstanding CDIs) as of May 21, 2024 by:</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to our knowledge, owns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securityholders.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Shares of our common stock subject to options, warrants, or other rights currently exercisable, or exercisable within 60 days of May 21, 2024, are deemed to be beneficially owned and outstanding for computing the share ownership and percentage of the person holding such options, warrants or other rights, but are not deemed outstanding for computing the percentage of any other person. As of May 21, 2024, we had 69,687,249 shares of our common stock issued and outstanding, including all shares of our common stock underlying issued and outstanding CDIs. Applicable percentage ownership after this offering is based on 73,422,765 shares outstanding immediately after the closing of this offering, which reflects the issuance by us of 3,703,704 shares of common stock and gives effect to (i) the cash exercise of warrants underlying 88,212 shares of common stock in connection with this offering, (ii) the exercise of options to purchase 6,595 shares of our common stock in connection with this offering, and (iii) the issuance of 184,192 shares of common stock pursuant to the conversion of convertible notes in connection with this offering. The table below, including the applicable percentage ownership after this offering, does not give effect to the exercise of the underwriters’ option to purchase additional shares of our common stock from the selling securityholders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is c/o Life360, Inc., 1900 S. Norfolk Street, Suite 310, San Mateo, California 94107.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our</w:t>
            </w:r>
          </w:p>
        </w:tc>
        <w:tc>
          <w:tcPr>
            <w:tcW w:w="30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 Beneficially Owned Following this</w:t>
            </w: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300" w:type="dxa"/>
            <w:vAlign w:val="bottom"/>
          </w:tcPr>
          <w:p>
            <w:pPr>
              <w:jc w:val="right"/>
              <w:ind w:right="1093"/>
              <w:spacing w:after="0" w:line="95" w:lineRule="exact"/>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74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Pr>
          <w:p>
            <w:pPr>
              <w:jc w:val="right"/>
              <w:ind w:right="1113"/>
              <w:spacing w:after="0" w:line="95" w:lineRule="exact"/>
              <w:rPr>
                <w:sz w:val="20"/>
                <w:szCs w:val="20"/>
                <w:color w:val="auto"/>
              </w:rPr>
            </w:pPr>
            <w:r>
              <w:rPr>
                <w:rFonts w:ascii="Times New Roman" w:cs="Times New Roman" w:eastAsia="Times New Roman" w:hAnsi="Times New Roman"/>
                <w:sz w:val="9"/>
                <w:szCs w:val="9"/>
                <w:b w:val="1"/>
                <w:bCs w:val="1"/>
                <w:color w:val="auto"/>
                <w:w w:val="75"/>
              </w:rPr>
              <w:t>(1)</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Borders>
              <w:bottom w:val="single" w:sz="8" w:color="auto"/>
            </w:tcBorders>
            <w:gridSpan w:val="3"/>
            <w:vMerge w:val="continue"/>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Common Stock Being</w:t>
            </w:r>
          </w:p>
        </w:tc>
        <w:tc>
          <w:tcPr>
            <w:tcW w:w="1740" w:type="dxa"/>
            <w:vAlign w:val="bottom"/>
            <w:tcBorders>
              <w:bottom w:val="single" w:sz="8" w:color="auto"/>
            </w:tcBorders>
            <w:gridSpan w:val="3"/>
            <w:vMerge w:val="continue"/>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7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7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35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Directors, named executive officers and 5%</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 Hulls</w:t>
            </w:r>
            <w:r>
              <w:rPr>
                <w:rFonts w:ascii="Times New Roman" w:cs="Times New Roman" w:eastAsia="Times New Roman" w:hAnsi="Times New Roman"/>
                <w:sz w:val="23"/>
                <w:szCs w:val="23"/>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Russell Burke</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Lauren Antonoff</w:t>
            </w:r>
            <w:r>
              <w:rPr>
                <w:rFonts w:ascii="Times New Roman" w:cs="Times New Roman" w:eastAsia="Times New Roman" w:hAnsi="Times New Roman"/>
                <w:sz w:val="23"/>
                <w:szCs w:val="23"/>
                <w:color w:val="auto"/>
                <w:vertAlign w:val="superscript"/>
              </w:rPr>
              <w:t>(4)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Susan Stick</w:t>
            </w:r>
            <w:r>
              <w:rPr>
                <w:rFonts w:ascii="Times New Roman" w:cs="Times New Roman" w:eastAsia="Times New Roman" w:hAnsi="Times New Roman"/>
                <w:sz w:val="23"/>
                <w:szCs w:val="23"/>
                <w:color w:val="auto"/>
                <w:vertAlign w:val="superscript"/>
              </w:rPr>
              <w:t>(5)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Rice</w:t>
            </w:r>
            <w:r>
              <w:rPr>
                <w:rFonts w:ascii="Times New Roman" w:cs="Times New Roman" w:eastAsia="Times New Roman" w:hAnsi="Times New Roman"/>
                <w:sz w:val="23"/>
                <w:szCs w:val="23"/>
                <w:color w:val="auto"/>
                <w:vertAlign w:val="superscript"/>
              </w:rPr>
              <w:t>(6)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Philip Coghlan</w:t>
            </w:r>
            <w:r>
              <w:rPr>
                <w:rFonts w:ascii="Times New Roman" w:cs="Times New Roman" w:eastAsia="Times New Roman" w:hAnsi="Times New Roman"/>
                <w:sz w:val="23"/>
                <w:szCs w:val="23"/>
                <w:color w:val="auto"/>
                <w:vertAlign w:val="superscript"/>
              </w:rPr>
              <w:t>(7)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Goines</w:t>
            </w:r>
            <w:r>
              <w:rPr>
                <w:rFonts w:ascii="Times New Roman" w:cs="Times New Roman" w:eastAsia="Times New Roman" w:hAnsi="Times New Roman"/>
                <w:sz w:val="23"/>
                <w:szCs w:val="23"/>
                <w:color w:val="auto"/>
                <w:vertAlign w:val="superscript"/>
              </w:rPr>
              <w:t>(8)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Alex Haro</w:t>
            </w:r>
            <w:r>
              <w:rPr>
                <w:rFonts w:ascii="Times New Roman" w:cs="Times New Roman" w:eastAsia="Times New Roman" w:hAnsi="Times New Roman"/>
                <w:sz w:val="23"/>
                <w:szCs w:val="23"/>
                <w:color w:val="auto"/>
                <w:vertAlign w:val="superscript"/>
              </w:rPr>
              <w:t>(9)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Brit Morin</w:t>
            </w:r>
            <w:r>
              <w:rPr>
                <w:rFonts w:ascii="Times New Roman" w:cs="Times New Roman" w:eastAsia="Times New Roman" w:hAnsi="Times New Roman"/>
                <w:sz w:val="23"/>
                <w:szCs w:val="23"/>
                <w:color w:val="auto"/>
                <w:vertAlign w:val="superscript"/>
              </w:rPr>
              <w:t>(10)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Charles (CJ) Prober</w:t>
            </w:r>
            <w:r>
              <w:rPr>
                <w:rFonts w:ascii="Times New Roman" w:cs="Times New Roman" w:eastAsia="Times New Roman" w:hAnsi="Times New Roman"/>
                <w:sz w:val="23"/>
                <w:szCs w:val="23"/>
                <w:color w:val="auto"/>
                <w:vertAlign w:val="superscript"/>
              </w:rPr>
              <w:t>(11)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Synge</w:t>
            </w:r>
            <w:r>
              <w:rPr>
                <w:rFonts w:ascii="Times New Roman" w:cs="Times New Roman" w:eastAsia="Times New Roman" w:hAnsi="Times New Roman"/>
                <w:sz w:val="23"/>
                <w:szCs w:val="23"/>
                <w:color w:val="auto"/>
                <w:vertAlign w:val="superscript"/>
              </w:rPr>
              <w:t>(12)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Wiadrowski</w:t>
            </w:r>
            <w:r>
              <w:rPr>
                <w:rFonts w:ascii="Times New Roman" w:cs="Times New Roman" w:eastAsia="Times New Roman" w:hAnsi="Times New Roman"/>
                <w:sz w:val="23"/>
                <w:szCs w:val="23"/>
                <w:color w:val="auto"/>
                <w:vertAlign w:val="superscript"/>
              </w:rPr>
              <w:t>(13)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Randi Zuckerberg</w:t>
            </w:r>
            <w:r>
              <w:rPr>
                <w:rFonts w:ascii="Times New Roman" w:cs="Times New Roman" w:eastAsia="Times New Roman" w:hAnsi="Times New Roman"/>
                <w:sz w:val="23"/>
                <w:szCs w:val="23"/>
                <w:color w:val="auto"/>
                <w:vertAlign w:val="superscript"/>
              </w:rPr>
              <w:t>(14)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(13 individuals)</w:t>
            </w:r>
            <w:r>
              <w:rPr>
                <w:rFonts w:ascii="Times New Roman" w:cs="Times New Roman" w:eastAsia="Times New Roman" w:hAnsi="Times New Roman"/>
                <w:sz w:val="23"/>
                <w:szCs w:val="23"/>
                <w:color w:val="auto"/>
                <w:vertAlign w:val="superscript"/>
              </w:rPr>
              <w:t>(15)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10,531,781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1,687,456</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8,761,904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securityholders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ICCA Labs, LLC</w:t>
            </w:r>
            <w:r>
              <w:rPr>
                <w:rFonts w:ascii="Times New Roman" w:cs="Times New Roman" w:eastAsia="Times New Roman" w:hAnsi="Times New Roman"/>
                <w:sz w:val="23"/>
                <w:szCs w:val="23"/>
                <w:color w:val="auto"/>
                <w:vertAlign w:val="superscript"/>
              </w:rPr>
              <w:t>(16)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Heads of human resources and marketing</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departments</w:t>
            </w:r>
            <w:r>
              <w:rPr>
                <w:rFonts w:ascii="Times New Roman" w:cs="Times New Roman" w:eastAsia="Times New Roman" w:hAnsi="Times New Roman"/>
                <w:sz w:val="23"/>
                <w:szCs w:val="23"/>
                <w:color w:val="auto"/>
                <w:vertAlign w:val="superscript"/>
              </w:rPr>
              <w:t>(17)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Heads of engineering departments</w:t>
            </w:r>
            <w:r>
              <w:rPr>
                <w:rFonts w:ascii="Times New Roman" w:cs="Times New Roman" w:eastAsia="Times New Roman" w:hAnsi="Times New Roman"/>
                <w:sz w:val="23"/>
                <w:szCs w:val="23"/>
                <w:color w:val="auto"/>
                <w:vertAlign w:val="superscript"/>
              </w:rPr>
              <w:t>(17)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and noteholders</w:t>
            </w:r>
            <w:r>
              <w:rPr>
                <w:rFonts w:ascii="Times New Roman" w:cs="Times New Roman" w:eastAsia="Times New Roman" w:hAnsi="Times New Roman"/>
                <w:sz w:val="23"/>
                <w:szCs w:val="23"/>
                <w:color w:val="auto"/>
                <w:vertAlign w:val="superscript"/>
              </w:rPr>
              <w:t>(18)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365,695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241,179</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ownership of less than 1%.</w:t>
      </w:r>
    </w:p>
    <w:p>
      <w:pPr>
        <w:spacing w:after="0" w:line="11"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underlying issued and outstanding CDIs.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8"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951,032 shares of common stock held directly by Mr. Hulls; (ii) 1,171,291 shares of our common stock underlying 3,513,874 CDIs held directly by Mr. Hulls; (iii) 29,960 shares of our common stock underlying 89,880 CDIs held indirectly through ICCA Labs, LLC (“ICCA”); (iv) 1,970,027 shares underlying options to purchase common stock that are exercisable within 60 days of May 21, 2024; (v) 7,451 shares underlying RSUs that were vested as of, and will be issued within 60 days of, May 21, 2024; and (vi) 4,968 shares underlying RSUs that vest but will not be issued within 60 days of May 21, 2024 for administrative reasons. Mr. Hulls is a member of ICCA Labs, LLC and the number of shares reported herein represents his proportionate ownership interest in ICCA Labs, LLC. 408,389 shares of our common stock are being offered by Mr. Hulls and 19,759 shares of our common stock beneficially held by Mr. Hulls are being offered by ICCA.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49,178 shares of our common stock held directly by Mr. Burke; (ii) 588,620 shares underlying options to purchase common stock that are exercisable within 60 days of May 21, 2024; (iii) 16,244 shares underlying RSUs that were vested as of, and will be issued within 60 days of, May 21, 2024; and (iv) 10,347 shares underlying RSUs that vest but will not be issued within 60 days of May 21, 2024 for administrative reasons.</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120,515 shares underlying RSUs that were vested as of, and will be issued within 60 days of, May 21, 2024; and (ii) 21,373 shares underlying RSUs that vest but will not be issued within 60 days of May 21, 2024 for administrative reasons.</w:t>
      </w: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566 shares underlying RSUs that vest but will not be issued within 60 days of May 21, 2024 for administrative reasons.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8,393 shares of common stock held directly by Mr. Rice; (ii) 217,570 shares of our common stock underlying 652,710 CDIs held directly by Mr. Rice; (iii) 492,424 shares underlying options to purchase common stock that are exercisable within 60 days of May 21, 2024; (iv) 8,394 shares underlying RSUs that were vested as of, and will be issued within 60 days of, May 21, 2024; and (v) 5,596 shares underlying RSUs that vest but will not be issued within 60 days of May 21, 2024 for administrative reasons.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76,911 shares of our common stock held directly by Mr. Coghlan; (ii) 34,893 shares of our common stock held indirectly through the John Coghlan Living Trust; (iii) 265,004 shares underlying options to purchase common stock that are exercisable within 60 days of May 21, 2024; and (iv) 2,917 shares underlying RSUs that were vested as of, and will be issued within 60 days of, May 21, 2024.</w:t>
      </w:r>
    </w:p>
    <w:p>
      <w:pPr>
        <w:spacing w:after="0" w:line="1" w:lineRule="exact"/>
        <w:rPr>
          <w:rFonts w:ascii="Times New Roman" w:cs="Times New Roman" w:eastAsia="Times New Roman" w:hAnsi="Times New Roman"/>
          <w:sz w:val="14"/>
          <w:szCs w:val="14"/>
          <w:color w:val="auto"/>
        </w:rPr>
      </w:pPr>
    </w:p>
    <w:p>
      <w:pPr>
        <w:ind w:left="340" w:right="20" w:hanging="332"/>
        <w:spacing w:after="0" w:line="278"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60,116 shares of our common stock held directly by Mr. Goines; (ii) 187,589 shares of our common stock underlying 562,767 CDIs held indirectly through the Goines Wong Living Trust; (iii) 34,045 shares underlying options to purchase common stock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0"/>
        <w:spacing w:after="0" w:line="271" w:lineRule="auto"/>
        <w:rPr>
          <w:sz w:val="20"/>
          <w:szCs w:val="20"/>
          <w:color w:val="auto"/>
        </w:rPr>
      </w:pPr>
      <w:r>
        <w:rPr>
          <w:rFonts w:ascii="Times New Roman" w:cs="Times New Roman" w:eastAsia="Times New Roman" w:hAnsi="Times New Roman"/>
          <w:sz w:val="14"/>
          <w:szCs w:val="14"/>
          <w:color w:val="auto"/>
        </w:rPr>
        <w:t>are exercisable within 60 days of May 21, 2024; and (iv) 2,405 shares underlying RSUs that were vested as of, and will be issued within 60 days of, May 21, 2024. 76,000 shares of our common stock are being offered by the Goines Wong Living Trust.</w:t>
      </w:r>
    </w:p>
    <w:p>
      <w:pPr>
        <w:jc w:val="both"/>
        <w:ind w:left="340" w:hanging="332"/>
        <w:spacing w:after="0" w:line="251"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2,170,573 shares of our common stock held directly by Mr. Haro; (ii) 30,635 shares of our common stock underlying 91,905 CDIs held indirectly through ICCA Labs, LLC; (iii) 407,837 shares underlying options to purchase common stock that are exercisable within 60 days of May 21, 2024; and (iv) 2,273 shares underlying RSUs that were vested as of, and</w:t>
      </w:r>
    </w:p>
    <w:p>
      <w:pPr>
        <w:spacing w:after="0" w:line="1"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4"/>
          <w:szCs w:val="14"/>
          <w:color w:val="auto"/>
        </w:rPr>
        <w:t>will be issued within 60 days of, May 21, 2024. Mr. Haro is a member of ICCA and the number of shares reported herein represents his proportionate ownership interest in ICCA. 1,300,149 shares of our common stock are being offered by Mr. Haro and 20,204 shares of our common stock beneficially held by Mr. Haro are being offered by ICCA.</w:t>
      </w:r>
    </w:p>
    <w:p>
      <w:pPr>
        <w:spacing w:after="0" w:line="1" w:lineRule="exact"/>
        <w:rPr>
          <w:sz w:val="20"/>
          <w:szCs w:val="20"/>
          <w:color w:val="auto"/>
        </w:rPr>
      </w:pPr>
    </w:p>
    <w:p>
      <w:pPr>
        <w:ind w:left="340" w:hanging="332"/>
        <w:spacing w:after="0" w:line="254"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24,738 shares of our common stock held directly by Ms. Morin; (ii) 127,031 shares underlying options to purchase common stock that are exercisable within 60 days of May 21, 2024; and (iii) that were vested as of, and will be issued within 60 days of, May 21, 2024.</w:t>
      </w:r>
    </w:p>
    <w:p>
      <w:pPr>
        <w:ind w:left="340" w:hanging="332"/>
        <w:spacing w:after="0" w:line="259" w:lineRule="auto"/>
        <w:tabs>
          <w:tab w:leader="none" w:pos="33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311 shares of our common stock held directly by Mr. Prober; (ii) 481,992 shares of our common stock underlying 1,445,976 CDIs held directly by Mr. Prober; and (iii) 130,923 shares underlying options to purchase common stock that are exercisable within 60 days of May 21, 2024.</w:t>
      </w:r>
    </w:p>
    <w:p>
      <w:pPr>
        <w:jc w:val="both"/>
        <w:ind w:left="340" w:hanging="332"/>
        <w:spacing w:after="0" w:line="258"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28,599 shares of our common stock held directly by Mr. Synge; (ii) 480,347 shares of our common stock underlying 1,441,041 CDIs held directly by Mr. Synge; (iii) 64,379 shares of our common stock underlying 193,137 CDIs held indirectly through ICCA Labs, LLC (the “ICCA Shares”). Mr. Synge has shared investment control held over Carthona Capital FS Pty Ltd. (“Carthona Capital”). Carthona Capital is a member of ICCA. The ICCA Shares reported as beneficially owned by Mr. Synge represent Carthona Capital’s proportionate ownership interest in ICCA. Mr. Synge disclaims beneficial ownership of these ICCA Shares except to the extent of his pecuniary interest therein; (iv) 70,573 shares of common stock underlying 211,720 CDIs held indirectly through Stynge Pty Ltd ATF Sandy Bay Trust; (v) 33,972 shares underlying options to purchase common stock that are exercisable within 60 days of May 21, 2024; and (vi) 2,377 shares underlying RSUs that were vested as of, and will be issued within 60 days of, May 21, 2024. 240,174 shares of our common stock are being offered by Mr. Synge and 42,458 shares of our common stock beneficially held by Mr. Synge are being offered by ICCA.</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32,408 shares of our common stock held directly by Mr. Wiadrowski; (ii) 8,256 shares of our common stock underlying 24,768 CDIs held directly by Mr. Wiadrowski; (iii) 37,361 shares underlying options to purchase common stock that are exercisable within 60 days of May 21, 2024; and (iv) 2,557 shares underlying RSUs that were vested as of, and will be issued within 60 days of May 21, 2024.</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14,194 shares of our common stock held directly by Ms. Zuckerberg; (ii) 37,870 shares underlying options to purchase common stock that are exercisable within 60 days of May 21, 2024; and (iii) 2,377 shares underlying RSUs that were vested as of, and will be issued within 60 days of May 21, 2024.</w:t>
      </w:r>
    </w:p>
    <w:p>
      <w:pPr>
        <w:jc w:val="both"/>
        <w:ind w:left="340" w:hanging="332"/>
        <w:spacing w:after="0" w:line="254"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3,451,346 shares of our common stock; (ii) 2,742,592 shares of our common stock underlying 8,227,778 CDIs; (iii) 4,125,114 shares underlying options to purchase common stock that are exercisable within 60 days of May 21, 2024; (iv) 49,364 shares underlying RSUs that were vested as of, and will be issued within 60 days of May 21, 2024; and (v) 20,911 shares underlying RSUs that vest but will not be issued within 60 days of May 21, 2024 for administrative reasons held by our executive officers and directors as a group.</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124,974 shares of our common stock held of record by ICCA beneficially held by each of Mr. Hulls, Mr. Haro and Mr. Synge listed in footnotes 2, 9, and 12 above; and (ii) 8,434 shares of our common stock held of record by ICCA beneficially held by Itamar Novick. Mr. Hulls, Mr. Haro and Mr. Novick and Carthona Capital are members of ICCA and have shared, proportionate investment and voting control over the shares held by ICCA. 19,759, 20,204, 42,458 and 5,562 shares of our common stock beneficially held by Mr. Hulls, Mr. Haro, Mr. Synge and Mr. Novick, respectively, are being offered by ICCA.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selling securityholders not otherwise listed in this table who within the groups indicated collectively beneficially own less than 1% of our common stock.</w:t>
      </w:r>
    </w:p>
    <w:p>
      <w:pPr>
        <w:spacing w:after="0" w:line="14"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selling securityholders not otherwise listed in this table who collectively own less than 1% of our common stock. Includes the number of shares that such selling securityholders have the right to acquire pursuant to the exercise of warrants and conversion of convertible notes that will result in shares of our common stock to be issued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some of the provisions of our Certificate of Incorporation and Bylaws, including certain provisions that will become effective in connection with this offering, and relevant provisions of the DGCL. The descriptions herein are qualified in their entirety by our Certificate of Incorporation and Bylaws, as amended in connection with this offering, copies of which have been filed or are incorporated by reference as exhibits to the registration statement of which this prospectus supplement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500,000,000 shares, all with a par value of $0.001 per share. As of March 31, 2024, we had 69,440,062 shares of our common stock outstanding, including all shares of our common stock underlying all issued and outstanding CDIs.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of common stock held on all matters submitted to a vote of stockholders, except as otherwise expressly provided in our Certificate of Incorporation or required by applicable law. Holders of our CDIs are entitled to one vote for every three CDIs they hold. Cumulative voting for the election of directors is not provided for in our Certificate of Incorporation, which means that the directors then standing for election are elected by a plurality of votes of shares of common stock cast at the election. These provisions in our Certificate of Incorporation could discourage potential takeover attempts. See “Anti-Takeover Effects of Delaware Law and Our Certificate of Incorporation and Bylaws”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prior rights that may apply to shares of our common stock outstanding at the time, the holders of outstanding shares of our common stock are entitled to receive dividends out of funds legally available at the times and in the amounts that our Board may determine. We do not anticipate paying any cash dividends in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outstanding shares of our common stock are fully paid and non-assessable.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outstanding options to purchase an aggregate of 6,186,944 shares of our common stock, with a weighted-average exercise price of $6.26 per share under our 2011 Equity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outstanding awards of RSUs covering 5,408,458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the following issued and outstanding warrants:</w:t>
      </w:r>
    </w:p>
    <w:p>
      <w:pPr>
        <w:spacing w:after="0" w:line="171"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88,212 shares of our common stock with an exercise price of $11.96 per share and a term of five years, which expire on July 1, 2026. 88,212 warrants were exercised prior to, and in connection with, this offering.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7,761 shares of our common stock with an exercise price of $6.44 per share and a term of 10 years which expire on September 4, 2025. The warrant has a cashless exercise provision pursuant to which the holder, in lieu of paying the exercise price in cash, can surrender the warrant and receive a number of shares based on the (x) fair market value of such shares minus the exercise price multiplied by (y) the number of shares with respect to which the warrant is being exercised divided by (z) the fair market value of the shares. It is expected that no warrants will be exercised prior to, and in connection with, this offering.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2021, we issued convertible notes in the aggregate principal amount of $2.1 million (the “July 2021 Convertible Notes”). The outstanding principal and any accrued and unpaid interest under these notes shall, at the option of the noteholder, either automatically convert, in the event of a change of control, SPAC transaction or qualified initial public offering, into shares of our common stock at a conversion price of $11.96 per share, or be repaid in full. Prior to the date hereof, each of the noteholders elected to convert their notes into shares of our common stock, contingent upon the closing of this offering.</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2021, in connection with the acquisition of Jiobit, we issued convertible notes representing an aggregate fair value of $11.6 million (the “September 2021 Convertible Notes”). These notes were convertible into shares of our common stock at any time subsequent to the acquisition of Jiobit at a fixed conversion price of $22.50 per share. Pursuant to the terms of the notes, we repaid one third of the unconverted principal balance plus accrued interest to the holders of such notes, at a fixed conversion price of $22.50 per share, on each of the first and second anniversaries of the issuance date. As of March 31, 2024, there was an aggregate principal amount of $3.4 million outstanding. In April 2024, the holders elected to convert their September 2021 Convertible Notes and accrued interest to common stock based on the fixed conversion price of $22.50 per share.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our common stock are traded on the ASX in the form of CDIs, under the symbol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an Australian depositary nominee, CDN.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differences between holding CDIs and shares of our common stock. The major differences are that:</w:t>
      </w:r>
    </w:p>
    <w:p>
      <w:pPr>
        <w:spacing w:after="0" w:line="171"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do not have legal title in the underlying shares of our common stock to which the CDIs relate (the chain of title in the shares underlying the CDIs is summarized above);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are not able to vote personally as stockholders at a meeting of Life360. Instead, CDI holders are provided with a voting instruction form which will enable them to instruct the depositary nominee in relation to the exercise of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Alternatively, CDI holders can transmute their CDIs into shares of our common stock in sufficient time before the relevant meeting, in which case they will be able to vote personally as stockholders of Life360.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Bylaws, including provisions that will become effective in connection with this offering,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common stock.</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the Board has approved certain amendments to the Bylaws, which include conforming changes to reflect the amendments to our Certificate of Incorporation that were approved by stockholders at our 2024 Annual Meeting of Stockholders held on May 29, 2024, as well as certain other changes that the Board believes to be in the best interests of us and our stockholders, as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our Board, the chairperson of our Board, the chief executive officer, or the president, and shall be called by the secretary following receipt of signed written requests to call a special meeting from the holders of at least 10% of the outstanding shares of stock of the corporation.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currently require that nominations for the election of directors by a stockholder must be received no later than 35 business days prior to the date of the annual meeting. Our Bylaws have been amended in connection with this offering to, among other things, replace this requirement and establish additional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Removal of Directors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Our Bylaws have been amended in connection with this offering to provide that no members of our Board may be removed from office by our stockholders except for cause by holders of a majority of the shares then entitled to vote at an election of directors. These provisions would prevent a stockholder from increasing the size of our Board and then gaining control of our Board by filling the resulting vacancies with its own nominees. This makes it more difficult to change the composition of our Board and promotes continuity of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for the renouncement by us of any interest or expectancy of ours in, or being offered an opportunity to participate in any matter, transaction, or interest that is presented to, or acquired, created, or developed by, or which otherwise comes into possession of, any of our directors who is not an employee or officer of us or any of our subsidiaries, unless such matter, transaction, or interest is presented to, or acquired, created, or developed by, or otherwise comes into the possession of any of our directors expressly and solely in that director’s capacity as our director.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(A)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General Corporation Law of the State of Delaware or our Certificate of Incorporation or Bylaws or (4) any action or proceeding asserting a claim governed by the internal affairs doctrine, and (B) the federal district courts of the U.S. will be the exclusive forum for the resolution of any complaint asserting a cause of action under the Securities Act, including all causes of action asserted against any defendant named in such complaint. The exclusive forum provision does not apply to any actions brought to enforce a duty or liability created by the Securities Act, the Exchange Act or any other claim for which the U.S.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Certificate of Incorporation permits indemnification of our directors and officers to the maximum extent permitted by the DGCL, and our Bylaws will provide that we will indemnify our directors and officers to the maximum extent permitted by the DGCL.</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officer is or was a director, officer, employee or agent of ours, provided that such director or executive officer acted in good faith and in a manner that the director or executive officer reasonably believed to be in, or not opposed to, our best interest.</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indemnification provisions in our amended and restated certificate of incorporation and amended and restated bylaws that will each be in effect immediately prior to the closing of this offering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 or indemnified against certain liabilities incurred in their capacity as members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In addition, our common stock is listed on the Nasdaq Global Select Market under the symbol “LIF”. We intend to apply to ASX to convert our listing on ASX to an ASX Foreign Exempt Listing.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to non-U.S. holders (as defined below) of the ownership and disposition of our common stock offered pursuant to this prospectus supplement. This discussion is not a complete analysis of all potential U.S. federal income tax consequences relating thereto, does not address the potential application of the Medicare contribution tax on net investment income, the alternative minimum tax provisions of the Code, or special tax accounting rules under Section 451(b) of the Code, and does not address any estate or gift tax consequences or any tax consequences arising under any state, local, or non-U.S. tax laws, or any other U.S. federal tax laws. This discussion is based on the Code and applicable Treasury Regulations promulgated thereunder, published rulings, and administrative pronouncements of the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offered by this prospectus supplement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2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pass-throughs, or disregarded entities for U.S. federal income tax purposes (and investors therein);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dealers, or traders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a constructive sale, or other risk reduction strategy or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employee option or otherwise as compensation;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organized outside of the United States, any state thereof and the District of Columbia that are nonetheless treated as U.S. taxpayers for U.S. federal income tax purposes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generally will depend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2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under the laws of the United States,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an applicable successor form)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in the United States), the non-U.S. holder generally will be exempt from U.S. federal withholding tax. To claim the exemption, the non-U.S. holder generally must furnish a valid IRS Form W-8ECI (or applicable successor form) to the applicable withholding agent.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08" w:lineRule="exact"/>
        <w:rPr>
          <w:sz w:val="20"/>
          <w:szCs w:val="20"/>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generally will not be subject to U.S. federal income tax if our common stock is “regularly traded,” as defined by applicable Treasury Regulations, on an established securities market.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holder and the amount of any tax withheld with respect to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generally may rely on the proposed Treasury Regulations until final regulations are issued.</w:t>
      </w:r>
    </w:p>
    <w:p>
      <w:pPr>
        <w:spacing w:after="0" w:line="1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this legislation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the selling securityholders and the underwriters named below have entered into an underwriting agreement with respect to the shares being offered.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conditions, each underwriter has severally agreed to purchase the number of shares indicated in the following table. Goldman Sachs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LLC, Evercore Group L.L.C. and UBS Securities LLC are the representatives of the underwriters.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 Securities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Canaccord Genuity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301,875</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301,875</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Loop Capital Markets LLC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r>
      <w:tr>
        <w:trPr>
          <w:trHeight w:val="223"/>
        </w:trPr>
        <w:tc>
          <w:tcPr>
            <w:tcW w:w="9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862,500 shares from the selling securityholders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and proceeds before expenses to us and the selling securityholders. Such amounts are shown assuming both no exercise and full exercise of the underwriters’ option to purchase 862,500 additional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4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 to be paid by us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10,867,500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12,497,625</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93,000,007</w:t>
            </w:r>
          </w:p>
        </w:tc>
      </w:tr>
      <w:tr>
        <w:trPr>
          <w:trHeight w:val="30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before expenses, to selling securityholders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51,382,493</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73,039,868</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3" w:lineRule="exact"/>
        <w:rPr>
          <w:sz w:val="20"/>
          <w:szCs w:val="20"/>
          <w:color w:val="auto"/>
        </w:rPr>
      </w:pPr>
    </w:p>
    <w:p>
      <w:pPr>
        <w:ind w:left="340" w:hanging="332"/>
        <w:spacing w:after="0" w:line="302"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pay the selling securityholders for certain of their expenses in connection with this offering, including all underwriting discounts and commissions applicable to the sale of shares of common stock by the selling securityholders.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supplement. Any shares sold by the underwriters to securities dealers may be sold at a discount of up to $1.134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officers, directors, and certain holders of our common stock, including the selling securityholders, have agreed with the underwriters, subject to certain exceptions, not to dispose of or hedge any of their common stock or securities convertible into or exchangeable for shares of common stock during the period from the date of this prospectus supplement continuing through the date 90 days after the date of this prospectus supplement, except with the prior written consent of Goldman Sachs &amp; Co. LLC.</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restrictions on our officers, directors, and certain holders of our common stock, including the selling securityholders, do not apply to, among other things, and subject in certain cases to various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bona fide gifts, charitable contributions, or for bona fide estate planning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testamentary document, or the laws of intestate succession;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immediate family members or to any trust for the direct or indirect benefit of the holder or the immediate family of the holder or, if the holder is a trust, to a trustor or beneficiary of the trust or the estate of a beneficiary of such trust;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corporation, partnership, limited liability company, or other entity of which the holder and the immediate family of the holder are the legal and beneficial owner of all of the outstanding equity securities or similar interests;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(i) through (iv) above;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business entity (A) to an affiliated or controlled entity or (B) as part of a distribution to the holder’s securityholders, partners, members, or other equityholders or to the estate of any such securityholders, partners, members, or other equityholders;</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divorce settlement, divorce decree, or separation agreement;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(A) from one of our employees upon their death, disability, or termination of employment, in each case, of such employee or (B) pursuant to agreements under which we have (1) the option to repurchase such securities or (2) a right of first refusal with respect to transfers of such securities upon termination of service of the undersigned;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not an officer or director, transfers of shares acquired (A) from the underwriters in this offering or (B) in open market transactions after the closing of this offering;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vesting, settlement, or exercise of RSUs, restricted stock, options, warrants, or other rights to purchase shares of our common stock (including, in each case, by way of “net” or “cashless” exercise), including any transfer to us for the payment of tax withholdings or remittance payments due as a result of the vesting, settlement or exercise of such RSUs, restricted stock, options, warrants or other rights, or in connection with the conversion or exchange or convertible or exchangeable securities of us or any of our subsidiaries, and any transfer necessary to generate such amount of cash needed for the payment of taxes, including estimated taxes, due as a result of the vesting or settlement of RSUs whether by means of a “net settlement” or otherwise, in all such cases pursuant to equity awards granted under a stock incentive plan or other equity award plan or arrangement, or pursuant to the terms of convertible or exchangeable securities, as applicable, each as described in this prospectus supplement, provided that any securities received upon such vesting, settlement, exercise or conversion that are not transferred to cover any such tax obligations shall be subject to the terms of such lock-up agreement;</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or other transfer of shares of common stock to satisfy any tax obligations or payments due as a result of (A) the termination of employment with us, the exercise of stock options that will expire during the lock-up period or (B) the settlement of RSUs pursuant to awards granted under a stock incentive plan or other equity award plan or arrangement described in this prospectus supplement, provided that, in each case, any securities received upon such exercise or settlement that are not transferred to cover any such tax obligations shall be subject to the terms of such lock-up agreement;</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termination of employment of our or our subsidiaries’ employees, including following the voluntary resignation of such employee, if the disposition of such securities is determined by us to be required under applicable law;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conversion, exchange or reclassification of our outstanding equity securities into shares of common stock, or any reclassification, exchange or conversion of the common stock, in each case as described in this prospectus supplement, provided that any such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received upon such conversion, exchange or reclassification shall be subject to the terms of such lock-up agreement.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in the United States. The initial public offering price has been negotiated among us and the representatives. Among the factors to be considered in determining the initial public offering price of the shares, in addition to prevailing market conditions, will be the trading price of our CDIs on the ASX, our historical performance, estimates of the business potential and our earnings prospects, an assessment of our management and the consideration of the above factors in relation to market valuation of companies in related businesses.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"LIF".</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actions, which involve the purchase and sale of shares of common stock in the open market. These stabilizing 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may take place in relation to the offering, as well as other purchases by the underwriters for their own accounts, and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NYSE, Nasdaq or relevant exchange, in the over-the-counter market or otherwise.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$6.0 million. We have also agreed to reimburse the underwriters for certain of their expenses in an amount up to $40,000.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selling securityholders have agreed to indemnify the several underwriters against certain liabilities, including liabilities under the Securities Act.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Goldman Sachs &amp; Co. LLC is providing financial services in Australia, Goldman Sachs &amp; Co. LLC is exempt from the requirement to hold an Australian financial services license for the financial services it provides in Australia. Goldman Sachs &amp; Co. LLC is regulated by a non-Australian regulator under non-Australian laws which differ from Australian laws, specifically, Goldman Sachs &amp; Co. LLC is regulated by the US Securities and Exchange Commission under US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an offer to the public of any shares may not be made in that Relevant Member State, except that an offer to the public in that Relevant Member State of any shares may be made at any time under the following exemptions under the EU Prospectus Regulation:</w:t>
      </w:r>
    </w:p>
    <w:p>
      <w:pPr>
        <w:spacing w:after="0" w:line="122"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underwriters for any such offer;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 provided that no such offer of shares shall result in a requirement for the Company or any of the underwriters to publish a prospectus pursuant to Article 3 of the Prospectus Regulation or a supplemental prospectus pursuant to Article 23 of the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EU Prospectus Regulation.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Notwithstanding the above, a person who is not a "qualified investor" and who has notified the underwriters of such fact in writing may, with the prior consent of the underwriters, be permitted to acquire shares in the offer.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terms of the offer and any shares to be offered so as to enable an investor to decide to purchase or subscribe for any shares, and the expression "EU Prospectus Regulation" means Regulation (EU) 2017/1129.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108"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any underwriter to publish a prospectus pursuant to section 85 of the FSMA or a supplemental prospectus pursuant to Article 23 of the UK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UK Prospectus Regulation.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underwriters has been obtained to each such proposed offer or resale.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supplement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offering, us,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(the “CISA”). The investor protection afforded to acquirers of interests in collective investment schemes under the CISA does not extend to acquirers of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Finance Centre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securities on regulated securities markets in Brazil in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in this prospectus supplement will be passed upon for us by Cooley LLP, Santa Monica, California. Certain legal matters in connection with this offering will be passed upon for the underwriters by Latham &amp; Watkins LLP, New York, New York.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of Life360, Inc. as of December 31, 2023, and for the year in the period ended December 31, 2023, incorporated by reference in this prospectus supplement, and the effectiveness of Life360,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the years then ended incorporated by reference in this prospectus supplement have been so incorporated in reliance on the report of BDO USA, LLP (n/k/a BDO USA, P.C.), an independent registered public accounting firm, incorporated herein by reference, given on the authority of said firm as experts in auditing and accounting.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including exhibits and schedules, under the Securities Act, with respect to the shares of our common stock being offered by this prospectus supplement. This prospectus supplement, which constitutes part of the registration statement, does not contain all of the information in the registration statement and its exhibits. For further information with respect to us and the common stock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 The ASX maintains a website that contains documents required under Australian securities laws and other information regarding our filings at www.asx.com.au.</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inspection and copying at the website of the SEC referred to above. We also maintain a website at www.life360.com,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supplement, and you should not consider information on our website to be part of this prospectus supplement.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000-56424):</w:t>
      </w:r>
    </w:p>
    <w:p>
      <w:pPr>
        <w:spacing w:after="0" w:line="13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36">
        <w:r>
          <w:rPr>
            <w:rFonts w:ascii="Times New Roman" w:cs="Times New Roman" w:eastAsia="Times New Roman" w:hAnsi="Times New Roman"/>
            <w:sz w:val="18"/>
            <w:szCs w:val="18"/>
            <w:u w:val="single" w:color="auto"/>
            <w:color w:val="0000FF"/>
          </w:rPr>
          <w:t>February 29, 2024</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S-55</w:t>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three months ended March 31, 2024, filed with the SEC on </w:t>
      </w:r>
      <w:hyperlink r:id="rId37">
        <w:r>
          <w:rPr>
            <w:rFonts w:ascii="Times New Roman" w:cs="Times New Roman" w:eastAsia="Times New Roman" w:hAnsi="Times New Roman"/>
            <w:sz w:val="18"/>
            <w:szCs w:val="18"/>
            <w:u w:val="single" w:color="auto"/>
            <w:color w:val="0000FF"/>
          </w:rPr>
          <w:t>May 9,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38">
        <w:r>
          <w:rPr>
            <w:rFonts w:ascii="Times New Roman" w:cs="Times New Roman" w:eastAsia="Times New Roman" w:hAnsi="Times New Roman"/>
            <w:sz w:val="18"/>
            <w:szCs w:val="18"/>
            <w:u w:val="single" w:color="auto"/>
            <w:color w:val="0000FF"/>
          </w:rPr>
          <w:t xml:space="preserve">June </w:t>
        </w:r>
      </w:hyperlink>
      <w:r>
        <w:rPr>
          <w:rFonts w:ascii="Times New Roman" w:cs="Times New Roman" w:eastAsia="Times New Roman" w:hAnsi="Times New Roman"/>
          <w:sz w:val="18"/>
          <w:szCs w:val="18"/>
          <w:color w:val="auto"/>
        </w:rPr>
        <w:t xml:space="preserve">3, </w:t>
      </w:r>
      <w:hyperlink r:id="rId38">
        <w:r>
          <w:rPr>
            <w:rFonts w:ascii="Times New Roman" w:cs="Times New Roman" w:eastAsia="Times New Roman" w:hAnsi="Times New Roman"/>
            <w:sz w:val="18"/>
            <w:szCs w:val="18"/>
            <w:u w:val="single" w:color="auto"/>
            <w:color w:val="0000FF"/>
          </w:rPr>
          <w:t>2024</w:t>
        </w:r>
      </w:hyperlink>
      <w:r>
        <w:rPr>
          <w:rFonts w:ascii="Times New Roman" w:cs="Times New Roman" w:eastAsia="Times New Roman" w:hAnsi="Times New Roman"/>
          <w:sz w:val="18"/>
          <w:szCs w:val="18"/>
          <w:color w:val="auto"/>
        </w:rPr>
        <w:t>, to the extent the information in such report is filed and not furnished;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auto"/>
          </w:rPr>
          <w:t xml:space="preserve">the description of our common stock contained in the Registration Statement on Form 8-A, dated June 3, 2024, filed with the SEC on </w:t>
        </w:r>
        <w:r>
          <w:rPr>
            <w:rFonts w:ascii="Times New Roman" w:cs="Times New Roman" w:eastAsia="Times New Roman" w:hAnsi="Times New Roman"/>
            <w:sz w:val="18"/>
            <w:szCs w:val="18"/>
            <w:u w:val="single" w:color="auto"/>
            <w:color w:val="0000FF"/>
          </w:rPr>
          <w:t>June 3,</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 and any amendment or report filed with the SEC for the purpose of updating the description; and</w:t>
        </w:r>
      </w:hyperlink>
    </w:p>
    <w:p>
      <w:pPr>
        <w:spacing w:after="0" w:line="107" w:lineRule="exact"/>
        <w:rPr>
          <w:rFonts w:ascii="Times New Roman" w:cs="Times New Roman" w:eastAsia="Times New Roman" w:hAnsi="Times New Roman"/>
          <w:sz w:val="18"/>
          <w:szCs w:val="18"/>
          <w:color w:val="0000FF"/>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relating to our 2024 annual meeting of securityholders, filed with the SEC on </w:t>
      </w:r>
      <w:hyperlink r:id="rId40">
        <w:r>
          <w:rPr>
            <w:rFonts w:ascii="Times New Roman" w:cs="Times New Roman" w:eastAsia="Times New Roman" w:hAnsi="Times New Roman"/>
            <w:sz w:val="18"/>
            <w:szCs w:val="18"/>
            <w:u w:val="single" w:color="auto"/>
            <w:color w:val="0000FF"/>
          </w:rPr>
          <w:t>April 16, 2024</w:t>
        </w:r>
      </w:hyperlink>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35"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2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1900 South Norfolk Street, Suite 310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Secretary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122555</wp:posOffset>
            </wp:positionV>
            <wp:extent cx="2468880" cy="746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246888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Preferred Stock</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29845</wp:posOffset>
            </wp:positionV>
            <wp:extent cx="1234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we or selling securityholders may offer and sell any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 Our ability to offer and sell preferred stock is contingent upon satisfaction of certain conditions, including receiving stockholder approval, as described in the section titled “Description of Capital Stock.”</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provide the specific terms of these offerings and securities in one or more supplements to this prospectus. We may also authorize one or more free writing prospectuses to be provided to you in connection with these offerings. In addition, in connection with certain offers and sales of securities by the selling securityholders, we and the selling securityholders will provide, if applicable, a prospectus supplement to this prospectus containing specific information about the offering by the selling securityholders and the amounts, prices and terms of the securities being offered.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2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in the United States. Our common stock trades on the Australian Securities Exchange (the “ASX”) under the symbol “360” in the form of CHESS Depositary Interests (“CDIs”). CDIs are units of beneficial ownership in shares of our common stock that are held in trust for CDI holders by CHESS Depositary Nominees Pty Limited (“CDN”), a subsidiary of ASX Limited, the company that operates the ASX. The CDIs entitle holders to dividends, if any, and other rights equivalent to shares of our common stock on a 3 CDIs-for-1 share of common stock basis. The last reported sale price of our CDIs on the ASX on May 9, 2024 (Australian Eastern Standard Time) was A$15.50 per CDI (equivalent to $30.76 per share of common stock, using an exchange rate of 0.6616 to convert Australian dollars to U.S. dollars as of May 3, 2024, as announced by the Federal Reserve). The applicable prospectus supplement will contain information, where applicable, as to other listings, if any, on any other securities exchange of the securities covered by the applicable prospectus supplement.</w:t>
      </w:r>
    </w:p>
    <w:p>
      <w:pPr>
        <w:spacing w:after="0" w:line="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a high degree of risk. Before making an investment decision, you should review carefully the risks and uncertainties described under the heading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i w:val="1"/>
          <w:iCs w:val="1"/>
          <w:color w:val="auto"/>
        </w:rPr>
        <w:t xml:space="preserve">” included in, or incorporated by reference into, this prospectus on page </w:t>
      </w:r>
      <w:r>
        <w:rPr>
          <w:rFonts w:ascii="Times New Roman" w:cs="Times New Roman" w:eastAsia="Times New Roman" w:hAnsi="Times New Roman"/>
          <w:sz w:val="18"/>
          <w:szCs w:val="18"/>
          <w:b w:val="1"/>
          <w:bCs w:val="1"/>
          <w:i w:val="1"/>
          <w:iCs w:val="1"/>
          <w:u w:val="single" w:color="auto"/>
          <w:color w:val="0000FF"/>
        </w:rPr>
        <w:t>25</w:t>
      </w:r>
      <w:r>
        <w:rPr>
          <w:rFonts w:ascii="Times New Roman" w:cs="Times New Roman" w:eastAsia="Times New Roman" w:hAnsi="Times New Roman"/>
          <w:sz w:val="18"/>
          <w:szCs w:val="18"/>
          <w:b w:val="1"/>
          <w:bCs w:val="1"/>
          <w:i w:val="1"/>
          <w:iCs w:val="1"/>
          <w:color w:val="auto"/>
        </w:rPr>
        <w:t xml:space="preserve">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3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May 9, 2024.</w:t>
      </w:r>
    </w:p>
    <w:p>
      <w:pPr>
        <w:sectPr>
          <w:pgSz w:w="11900" w:h="16838" w:orient="portrait"/>
          <w:cols w:equalWidth="0" w:num="1">
            <w:col w:w="11240"/>
          </w:cols>
          <w:pgMar w:left="320" w:top="60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7"/>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7960" w:type="dxa"/>
            <w:vAlign w:val="bottom"/>
            <w:gridSpan w:val="8"/>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FF"/>
            </w:tcBorders>
            <w:gridSpan w:val="7"/>
            <w:vMerge w:val="continue"/>
          </w:tcPr>
          <w:p>
            <w:pPr>
              <w:spacing w:after="0"/>
              <w:rPr>
                <w:sz w:val="14"/>
                <w:szCs w:val="14"/>
                <w:color w:val="auto"/>
              </w:rPr>
            </w:pPr>
          </w:p>
        </w:tc>
        <w:tc>
          <w:tcPr>
            <w:tcW w:w="7960" w:type="dxa"/>
            <w:vAlign w:val="bottom"/>
            <w:gridSpan w:val="8"/>
            <w:vMerge w:val="continue"/>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jc w:val="center"/>
              <w:ind w:right="460"/>
              <w:spacing w:after="0" w:line="156"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8100" w:type="dxa"/>
            <w:vAlign w:val="bottom"/>
            <w:gridSpan w:val="9"/>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940" w:type="dxa"/>
            <w:vAlign w:val="bottom"/>
            <w:gridSpan w:val="13"/>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860" w:type="dxa"/>
            <w:vAlign w:val="bottom"/>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860" w:type="dxa"/>
            <w:vAlign w:val="bottom"/>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320" w:type="dxa"/>
            <w:vAlign w:val="bottom"/>
            <w:gridSpan w:val="5"/>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DESCRIPTION OF DEBT SECURITIES</w:t>
            </w:r>
          </w:p>
        </w:tc>
        <w:tc>
          <w:tcPr>
            <w:tcW w:w="7180" w:type="dxa"/>
            <w:vAlign w:val="bottom"/>
            <w:gridSpan w:val="4"/>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34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180" w:type="dxa"/>
            <w:vAlign w:val="bottom"/>
            <w:gridSpan w:val="4"/>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OWNERSHIP OF SECURITIES</w:t>
            </w: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SELLING SECURITYHOLDERS</w:t>
            </w:r>
          </w:p>
        </w:tc>
        <w:tc>
          <w:tcPr>
            <w:tcW w:w="7180" w:type="dxa"/>
            <w:vAlign w:val="bottom"/>
            <w:gridSpan w:val="4"/>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440" w:type="dxa"/>
            <w:vAlign w:val="bottom"/>
            <w:gridSpan w:val="4"/>
          </w:tcPr>
          <w:p>
            <w:pPr>
              <w:spacing w:after="0"/>
              <w:rPr>
                <w:sz w:val="18"/>
                <w:szCs w:val="18"/>
                <w:color w:val="auto"/>
              </w:rPr>
            </w:pPr>
          </w:p>
        </w:tc>
        <w:tc>
          <w:tcPr>
            <w:tcW w:w="7700" w:type="dxa"/>
            <w:vAlign w:val="bottom"/>
            <w:gridSpan w:val="6"/>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140" w:type="dxa"/>
            <w:vAlign w:val="bottom"/>
            <w:gridSpan w:val="10"/>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8740" w:type="dxa"/>
            <w:vAlign w:val="bottom"/>
            <w:gridSpan w:val="12"/>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780" w:type="dxa"/>
            <w:vAlign w:val="bottom"/>
            <w:gridSpan w:val="3"/>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1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supplement, unless the context suggests otherwise, the terms:</w:t>
      </w:r>
    </w:p>
    <w:p>
      <w:pPr>
        <w:spacing w:after="0" w:line="171"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“Life360” and “Company” refer to Life360, Inc., a Delaware corporation, and its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“USD” refers to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“AUD” refers to Australian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refers to a member who opens the Life360 app after completing their registration;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“ANZ” refers, collectively, to Australia and New Zealand;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“ARPPC” refers to Average Revenue per Paying Circle.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“ARPPS” refers to Average Revenue per Paying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“ASX” refers to ASX Limited (ABN: 98 008 624 691) or the financial market known as the Australian Securities Exchange operated by it (as appropriate);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refers to the amended and restated bylaws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“CDIs” refers to CHESS Depositary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“CDN” refers to CHESS Depositary Nominees Pty Limited;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refers to the amended and restated certificate of incorporation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“CHESS” refers to the Clearing House Electronic Subregister System;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“DAUs” refers to daily active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the Delaware General Corporation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generally accepted accounting principles in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“Hubble” refers to Hubble Network,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refers to Jio, Inc., a Delaware corporation and a wholly-owned subsidiary of Life360, Inc.;</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Platform” refers to the suite of Life360 offerings of products and services including the Life360 mobile application and related third-party services but excluding Tile and Jiobit offerings;</w:t>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Service” refers to the suite of Life360 offerings of products and services including the Life360, Tile and Jiobit mobile applications and related third-party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refers to monthly active users of the Life360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users of the applicable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refers to The Nasdaq Global Select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refers to original issue discount;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 refers to the Circles covered by a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the holders of beneficial interest of shares of our common stock, including all shares of our common stock underlying our CDIs;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refers to a person who has purchased a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refers to a paid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 refers to global total addressable market;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 refers to Tile, Inc., a Delaware corporation and wholly-owned subsidiary of Life360, Inc.</w:t>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 using a “shelf” registration process as a “well-known seasoned issuer” as defined in Rule 405 under the Securities Act. Under this shelf registration statement, we or selling securityholders may, from time to time, offer and sell, either individually or in combination, in one or more offerings, any of the securities described in this prospectus. There is no limit on the aggregate amount of the securities that we or selling securityholders may offer pursuant to the registration statement of which this prospectus is a part.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securityholders have authorized anyone to provide you with different or additional information. We and the selling securityholders take no responsibility for, and can provide no assurance as to the reliability of, any other information that others may give you.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“Life360,” “Company,” “we,” “us” and “our” refer to Life360, Inc., a Delaware corporation, and where appropriate,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33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6130" cy="673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related notes, and the exhibits to the registration statement of which this prospectus is a part.</w:t>
      </w:r>
    </w:p>
    <w:p>
      <w:pPr>
        <w:spacing w:after="0" w:line="1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left="680" w:right="20"/>
        <w:spacing w:after="0" w:line="255" w:lineRule="auto"/>
        <w:rPr>
          <w:sz w:val="20"/>
          <w:szCs w:val="20"/>
          <w:color w:val="auto"/>
        </w:rPr>
      </w:pPr>
      <w:r>
        <w:rPr>
          <w:rFonts w:ascii="Times New Roman" w:cs="Times New Roman" w:eastAsia="Times New Roman" w:hAnsi="Times New Roman"/>
          <w:sz w:val="18"/>
          <w:szCs w:val="18"/>
          <w:color w:val="auto"/>
        </w:rPr>
        <w:t>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acquired Jiobit and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spacing w:after="0" w:line="122"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Our suite of product and service offerings, including the Life360 and Tile mobile applications, and related third-party services, is system and platform-agnostic, allowing our products and services to work seamlessly for our members, regardless of the devices they use. As of March 31, 2024, we had approximately 66.4 million MAUs and 1.9 million global Paying Circles on the Life360 Platform, representing a year-over-year increase of 31%, and 21%, respectively.</w:t>
      </w:r>
    </w:p>
    <w:p>
      <w:pPr>
        <w:spacing w:after="0" w:line="126"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Our revenue is primarily generated from the sale of subscriptions and hardware tracking devices used to access our services across our two major brands, Life360 and Tile. In addition, a portion of our revenue is generated indirectly from the sale of aggregated data (non-personally identifiable information) for the purposes of data insights from our member base to our partners and from the sale of third-party products and services, including through the placement of ads within our platform.</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the years ended December 31, 2023, 2022, and 2021, we generated:</w:t>
      </w:r>
    </w:p>
    <w:p>
      <w:pPr>
        <w:spacing w:after="0" w:line="171" w:lineRule="exact"/>
        <w:rPr>
          <w:sz w:val="20"/>
          <w:szCs w:val="20"/>
          <w:color w:val="auto"/>
        </w:rPr>
      </w:pPr>
    </w:p>
    <w:p>
      <w:pPr>
        <w:ind w:left="1320" w:hanging="32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$304.5 million, $228.3 million, and $112.6 million, respectively;</w:t>
      </w:r>
    </w:p>
    <w:p>
      <w:pPr>
        <w:spacing w:after="0" w:line="27"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of $220.8 million, $153.3 million, and $86.6 million, respectively;</w:t>
      </w:r>
    </w:p>
    <w:p>
      <w:pPr>
        <w:spacing w:after="0" w:line="9"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of $58.2 million, $47.9 million, and $1.0 million, respectively;</w:t>
      </w:r>
    </w:p>
    <w:p>
      <w:pPr>
        <w:spacing w:after="0" w:line="9"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of $25.5 million, $27.1 million, and $25.1 million, respectively;</w:t>
      </w:r>
    </w:p>
    <w:p>
      <w:pPr>
        <w:spacing w:after="0" w:line="9"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$28.2 million, $91.6 million, and $33.6 million, respectively; and</w:t>
      </w:r>
    </w:p>
    <w:p>
      <w:pPr>
        <w:spacing w:after="0" w:line="9"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$20.6 million, $(40.1) million, and $(13.1) million, respectively.</w:t>
      </w:r>
      <w:r>
        <w:rPr>
          <w:rFonts w:ascii="Times New Roman" w:cs="Times New Roman" w:eastAsia="Times New Roman" w:hAnsi="Times New Roman"/>
          <w:sz w:val="23"/>
          <w:szCs w:val="23"/>
          <w:color w:val="auto"/>
          <w:vertAlign w:val="superscript"/>
        </w:rPr>
        <w:t>2</w:t>
      </w:r>
    </w:p>
    <w:p>
      <w:pPr>
        <w:spacing w:after="0" w:line="196" w:lineRule="exact"/>
        <w:rPr>
          <w:sz w:val="20"/>
          <w:szCs w:val="20"/>
          <w:color w:val="auto"/>
        </w:rPr>
      </w:pPr>
    </w:p>
    <w:p>
      <w:pPr>
        <w:ind w:left="760" w:hanging="86"/>
        <w:spacing w:after="0"/>
        <w:tabs>
          <w:tab w:leader="none" w:pos="76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“Summary Selected Condensed Consolidated Financial and Other Data—Non-GAAP Financial Information” for a reconciliation to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80"/>
          </w:cols>
          <w:pgMar w:left="320" w:top="12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36130" cy="7830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6130" cy="7830820"/>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680" w:right="180"/>
        <w:spacing w:after="0" w:line="280" w:lineRule="auto"/>
        <w:rPr>
          <w:sz w:val="20"/>
          <w:szCs w:val="20"/>
          <w:color w:val="auto"/>
        </w:rPr>
      </w:pPr>
      <w:r>
        <w:rPr>
          <w:rFonts w:ascii="Times New Roman" w:cs="Times New Roman" w:eastAsia="Times New Roman" w:hAnsi="Times New Roman"/>
          <w:sz w:val="14"/>
          <w:szCs w:val="14"/>
          <w:i w:val="1"/>
          <w:iCs w:val="1"/>
          <w:color w:val="auto"/>
        </w:rPr>
        <w:t>Note: As of March 31, 2024 unless otherwise stated. 1. Available in 133 countries through Google Play Store. 2. Based on approximately 38.8 million U.S. MAUs compared to the total U.S. population adjusted for smartphone penetration. 3. By Daily Active Users on the Apple App Store in the U.S. as of March 2024. 4. In full-year 2023.</w:t>
      </w:r>
    </w:p>
    <w:p>
      <w:pPr>
        <w:spacing w:after="0" w:line="2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Life360 Platform</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currently offer four key product features that make up the Life360 Platform: (i) location coordination and safety, (ii) driving safety,</w:t>
      </w:r>
    </w:p>
    <w:p>
      <w:pPr>
        <w:spacing w:after="0" w:line="27" w:lineRule="exact"/>
        <w:rPr>
          <w:sz w:val="20"/>
          <w:szCs w:val="20"/>
          <w:color w:val="auto"/>
        </w:rPr>
      </w:pPr>
    </w:p>
    <w:p>
      <w:pPr>
        <w:jc w:val="both"/>
        <w:ind w:left="680" w:right="20" w:hanging="6"/>
        <w:spacing w:after="0" w:line="252" w:lineRule="auto"/>
        <w:tabs>
          <w:tab w:leader="none" w:pos="10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Our hardware products under the Tile brand seamlessly integrate with the Life360 Platform. The Tile bluetooth network leverages the installed base of Life360 members to scan for locations of devices, generating even higher confidence that we can locate lost devices of Tile customers. Tile devices are sold through online and brick and mortar retail channels as well as directly via Tile.com in various shapes, sizes and price points for different use cases. The Tile mobile application offers a free service as well as two paid subscription options: Premium and Premium Protect, which offer additional services such as warranties and item reimbursement.</w:t>
      </w:r>
    </w:p>
    <w:p>
      <w:pPr>
        <w:spacing w:after="0" w:line="129"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Jiobit product line, which we intend to rebrand to align with the Tile brand, offers wearable location devices for young children, pets, and seniors. Currently, it is offered exclusively in the U.S. via online retailers. Customers purchase a GPS enabled device and a monthly subscription to access location tracking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sectPr>
          <w:pgSz w:w="11900" w:h="16838" w:orient="portrait"/>
          <w:cols w:equalWidth="0" w:num="1">
            <w:col w:w="10580"/>
          </w:cols>
          <w:pgMar w:left="32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0"/>
          </w:cols>
          <w:pgMar w:left="320" w:top="121"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27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color w:val="auto"/>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We have signed a non-binding letter of intent (“LOI”) with Hubble, a global satellite network designed for any bluetooth-enabled device to connect to, regarding a potential partnership that will expand our location tracking capabilities. Life360 and Hubble aim to build a global finder network, enabling partners to develop bluetooth finding devices capable of continuous global location sharing, independent of cellular connectivity. If integrated, this initiative would connect Life360’s extensive network of smartphones with Hubble’s satellite connectivity to form a unique network that locates devices from both space, using the Hubble constellation, and on the ground, via Life360’s widely used app.</w:t>
      </w:r>
    </w:p>
    <w:p>
      <w:pPr>
        <w:spacing w:after="0" w:line="140"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are a market leader in family safety, connecting millions of people globally through software and hardware to the people, pets and things they care most about. We offer a range of services including location sharing, safe driver reports, and crash detection with emergency dispatch. The widespread proliferation and continued growth of connected devices has led to a normalization of location sharing for a wide range of consumer applications such as item tracking, communication, social coordination or travel. From December 2018 through March 2024, the global location sharing app market alone has grown at a 22% CAGR, according to Data.ai. With our location-based technology as an anchor and our holistic approach to create the most trusted family connectivity and safety brand, we believe we can directly address multiple large, global market opportunities across our core and emerging offerings:</w:t>
      </w:r>
    </w:p>
    <w:p>
      <w:pPr>
        <w:spacing w:after="0" w:line="135" w:lineRule="exact"/>
        <w:rPr>
          <w:sz w:val="20"/>
          <w:szCs w:val="20"/>
          <w:color w:val="auto"/>
        </w:rPr>
      </w:pPr>
    </w:p>
    <w:p>
      <w:pPr>
        <w:jc w:val="both"/>
        <w:ind w:left="1320" w:right="20" w:hanging="322"/>
        <w:spacing w:after="0" w:line="255"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Services.</w:t>
      </w:r>
      <w:r>
        <w:rPr>
          <w:rFonts w:ascii="Times New Roman" w:cs="Times New Roman" w:eastAsia="Times New Roman" w:hAnsi="Times New Roman"/>
          <w:sz w:val="18"/>
          <w:szCs w:val="18"/>
          <w:color w:val="auto"/>
        </w:rPr>
        <w:t xml:space="preserve"> The Life360 Platform is currently available in 171 countries through the Apple App Store and 133 countries through the Google Play Store through both tiered and single subscription offerings. We believe that the opportunity for our core subscription offerings alone translates into a TAM of $75 billion. Our core subscription offering consists of a bundle of services that competes with a variety of single point solutions, including:</w:t>
      </w:r>
    </w:p>
    <w:p>
      <w:pPr>
        <w:spacing w:after="0" w:line="2" w:lineRule="exact"/>
        <w:rPr>
          <w:rFonts w:ascii="Times New Roman" w:cs="Times New Roman" w:eastAsia="Times New Roman" w:hAnsi="Times New Roman"/>
          <w:sz w:val="18"/>
          <w:szCs w:val="18"/>
          <w:color w:val="auto"/>
        </w:rPr>
      </w:pPr>
    </w:p>
    <w:p>
      <w:pPr>
        <w:ind w:left="1640" w:right="300" w:hanging="318"/>
        <w:spacing w:after="0" w:line="250" w:lineRule="auto"/>
        <w:tabs>
          <w:tab w:leader="none" w:pos="1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Location Sharing</w:t>
      </w:r>
      <w:r>
        <w:rPr>
          <w:rFonts w:ascii="Times New Roman" w:cs="Times New Roman" w:eastAsia="Times New Roman" w:hAnsi="Times New Roman"/>
          <w:sz w:val="18"/>
          <w:szCs w:val="18"/>
          <w:color w:val="auto"/>
        </w:rPr>
        <w:t>. Our location sharing and associated safety features are a core pillar of our service, providing peace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mind for members by knowing location activity, receiving notifications and coordinating through messaging.</w:t>
      </w:r>
    </w:p>
    <w:p>
      <w:pPr>
        <w:ind w:left="1640" w:right="20" w:hanging="318"/>
        <w:spacing w:after="0" w:line="250" w:lineRule="auto"/>
        <w:tabs>
          <w:tab w:leader="none" w:pos="1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Driving Safety</w:t>
      </w:r>
      <w:r>
        <w:rPr>
          <w:rFonts w:ascii="Times New Roman" w:cs="Times New Roman" w:eastAsia="Times New Roman" w:hAnsi="Times New Roman"/>
          <w:sz w:val="18"/>
          <w:szCs w:val="18"/>
          <w:color w:val="auto"/>
        </w:rPr>
        <w:t>. Our crash detection features can sense collisions, and we deploy emergency response and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 with roadside issues such as towing services or minor repairs like jumpstarting a car battery.</w:t>
      </w:r>
    </w:p>
    <w:p>
      <w:pPr>
        <w:ind w:left="1640" w:right="300" w:hanging="318"/>
        <w:spacing w:after="0" w:line="250" w:lineRule="auto"/>
        <w:tabs>
          <w:tab w:leader="none" w:pos="1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Stolen Phone Protection</w:t>
      </w:r>
      <w:r>
        <w:rPr>
          <w:rFonts w:ascii="Times New Roman" w:cs="Times New Roman" w:eastAsia="Times New Roman" w:hAnsi="Times New Roman"/>
          <w:sz w:val="18"/>
          <w:szCs w:val="18"/>
          <w:color w:val="auto"/>
        </w:rPr>
        <w:t>. Our stolen phone protection provides coverage for members in the U.S., Canada, ANZ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Kingdom in the event their phone is stolen.</w:t>
      </w:r>
    </w:p>
    <w:p>
      <w:pPr>
        <w:ind w:left="1640" w:right="260" w:hanging="318"/>
        <w:spacing w:after="0" w:line="250" w:lineRule="auto"/>
        <w:tabs>
          <w:tab w:leader="none" w:pos="1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Emergency Assistance</w:t>
      </w:r>
      <w:r>
        <w:rPr>
          <w:rFonts w:ascii="Times New Roman" w:cs="Times New Roman" w:eastAsia="Times New Roman" w:hAnsi="Times New Roman"/>
          <w:sz w:val="18"/>
          <w:szCs w:val="18"/>
          <w:color w:val="auto"/>
        </w:rPr>
        <w:t>. Through emergency assistance, our Platinum members have access to medical professionals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offer referrals and provide reliable and trusted information. Further, members can get expert advice and help in unpredictable situations such as natural disasters or travel support both before and during travels.</w:t>
      </w:r>
    </w:p>
    <w:p>
      <w:pPr>
        <w:spacing w:after="0" w:line="1" w:lineRule="exact"/>
        <w:rPr>
          <w:rFonts w:ascii="Times New Roman" w:cs="Times New Roman" w:eastAsia="Times New Roman" w:hAnsi="Times New Roman"/>
          <w:sz w:val="18"/>
          <w:szCs w:val="18"/>
          <w:color w:val="auto"/>
        </w:rPr>
      </w:pPr>
    </w:p>
    <w:p>
      <w:pPr>
        <w:ind w:left="1640" w:right="180" w:hanging="318"/>
        <w:spacing w:after="0" w:line="255" w:lineRule="auto"/>
        <w:tabs>
          <w:tab w:leader="none" w:pos="1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Safety. </w:t>
      </w:r>
      <w:r>
        <w:rPr>
          <w:rFonts w:ascii="Times New Roman" w:cs="Times New Roman" w:eastAsia="Times New Roman" w:hAnsi="Times New Roman"/>
          <w:sz w:val="18"/>
          <w:szCs w:val="18"/>
          <w:color w:val="auto"/>
        </w:rPr>
        <w:t>Increased data breaches, credit card, bank and identity fraud has driven a need for digital safety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consumers. We leverage our aggregated data to offer proactive protection, notify about potential threats, and assist our members in remediation.</w:t>
      </w:r>
    </w:p>
    <w:p>
      <w:pPr>
        <w:spacing w:after="0" w:line="131" w:lineRule="exact"/>
        <w:rPr>
          <w:rFonts w:ascii="Times New Roman" w:cs="Times New Roman" w:eastAsia="Times New Roman" w:hAnsi="Times New Roman"/>
          <w:sz w:val="18"/>
          <w:szCs w:val="18"/>
          <w:color w:val="auto"/>
        </w:rPr>
      </w:pPr>
    </w:p>
    <w:p>
      <w:pPr>
        <w:jc w:val="both"/>
        <w:ind w:left="1320" w:hanging="322"/>
        <w:spacing w:after="0" w:line="261"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Item Tracking.</w:t>
      </w:r>
      <w:r>
        <w:rPr>
          <w:rFonts w:ascii="Times New Roman" w:cs="Times New Roman" w:eastAsia="Times New Roman" w:hAnsi="Times New Roman"/>
          <w:sz w:val="18"/>
          <w:szCs w:val="18"/>
          <w:color w:val="auto"/>
        </w:rPr>
        <w:t xml:space="preserve"> Tile is a leading brand in the rapidly growing smart tracker industry helping address the everyday pain point of losing or misplacing the things that matter most to our members. The market for bluetooth tracking and finding devices was estimated to be $2.1 billion in 2023, expected to grow at an estimated CAGR of 30% to $16.7 billion from 2023 to 2031, according to Intellectual Market Insights Report.</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0"/>
          </w:cols>
          <w:pgMar w:left="320" w:top="12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861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hanging="322"/>
        <w:spacing w:after="0" w:line="261"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Pet Tracking.</w:t>
      </w:r>
      <w:r>
        <w:rPr>
          <w:rFonts w:ascii="Times New Roman" w:cs="Times New Roman" w:eastAsia="Times New Roman" w:hAnsi="Times New Roman"/>
          <w:sz w:val="18"/>
          <w:szCs w:val="18"/>
          <w:color w:val="auto"/>
        </w:rPr>
        <w:t xml:space="preserve"> The American Pet Product Association estimates that there are over 110 million cats and dogs in households in the U.S. The global pet wearable market is expected to grow at a 14% CAGR from $2.7 billion in 2023 to $6.9 billion by 2030. Within our member base, 65% of surveyed U.S. members owning a pet would be interested in a pet tracker as part of their Life360 subscription, demonstrating the strong market fit for our offering and our goal to capture this opportunity.</w:t>
      </w:r>
    </w:p>
    <w:p>
      <w:pPr>
        <w:spacing w:after="0" w:line="125" w:lineRule="exact"/>
        <w:rPr>
          <w:rFonts w:ascii="Times New Roman" w:cs="Times New Roman" w:eastAsia="Times New Roman" w:hAnsi="Times New Roman"/>
          <w:sz w:val="18"/>
          <w:szCs w:val="18"/>
          <w:color w:val="auto"/>
        </w:rPr>
      </w:pPr>
    </w:p>
    <w:p>
      <w:pPr>
        <w:jc w:val="both"/>
        <w:ind w:left="1320" w:right="20" w:hanging="322"/>
        <w:spacing w:after="0" w:line="261"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Advertising.</w:t>
      </w:r>
      <w:r>
        <w:rPr>
          <w:rFonts w:ascii="Times New Roman" w:cs="Times New Roman" w:eastAsia="Times New Roman" w:hAnsi="Times New Roman"/>
          <w:sz w:val="18"/>
          <w:szCs w:val="18"/>
          <w:color w:val="auto"/>
        </w:rPr>
        <w:t xml:space="preserve"> The global mobile advertising market is estimated to be $402 billion in 2024 by Data.ai. We believe our leading consumer-centric platform, our highly-engaged member base and our valuable first-party data position us to capture a portion of this market while still prioritizing the quality of our members’ experiences and privacy. We believe advertising in the U.S. alone could be a $3.1 billion addressable opportunity for us.</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As part of our growth roadmap, we expect to leverage our core experience to drive growth in adjacent markets, expand our addressable market, and integrate Life360 into all life stages. We believe our TAM includes adjacent opportunities such as auto insurance, a $382 billion market in the U.S. in 2023 alone, according to Mordor Intelligence, as well as elderly monitoring and family financial services.</w:t>
      </w:r>
    </w:p>
    <w:p>
      <w:pPr>
        <w:spacing w:after="0" w:line="122"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While we are already a leader in family safety and location sharing globally, we believe we are significantly underpenetrated across our core markets. For example, in the UK, ANZ, Canada, and Europe, penetration has increased over three times, measured as MAUs divided by population adjusted for smartphone penetration, according to the Pew Research Center, between December 2018 and March 2024. We believe there is potential for these markets to eventually reach parity with the U.S., where current penetration is 1 in 8 smartphone owners. Specifically, as of March 31, 2024, in the UK, ANZ, and Canada, our penetration is 7%, 9%, and 3%, respectively, reflecting 4.2 million, 2.2 million, and 0.9 million MAUs as of March 31, 2024, compared to 13% penetration in the U.S., reflecting approximately 38.8 million MAUs.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While U.S. penetration grew from 6% as of March 31, 2020, to 13% as of March 31, 2024, we believe there is still a significant remaining runway for growth in the U.S. Over the last four years, U.S. penetration increased across all states, and states with penetration above the U.S. average of 6% in 2020 experienced over 115% penetration</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0"/>
          </w:cols>
          <w:pgMar w:left="320" w:top="121"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30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6130" cy="753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growth on average from March 31, 2020, to March 31, 2024, underlining that there is still meaningful runway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in Family Safety Across All Life Stages: </w:t>
      </w:r>
      <w:r>
        <w:rPr>
          <w:rFonts w:ascii="Times New Roman" w:cs="Times New Roman" w:eastAsia="Times New Roman" w:hAnsi="Times New Roman"/>
          <w:sz w:val="18"/>
          <w:szCs w:val="18"/>
          <w:color w:val="auto"/>
        </w:rPr>
        <w:t>We are a market leader in family safety and location sharing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addressing large, global market opportunities across our offerings. Approximately 66.4 million MAUs on the Life360 Platform worldwide enjoy the peace of mind that comes with the Life360 location sharing and safety features. We believe that our variety of services, including location safety, driving safety, digital safety, and emergency assistance, provide members with a superior experience. Beyond the Life360 app, we also help our members track their pets and the things they care most about, ensuring that families know all the most important aspects of their life are connected and safe. Given the breadth of our platform and services, we have attracted a wide range of members that span all life stages. To understand the segmentation of our member base, we analyze the composition of both our Circles, which includes free and paying members, and Paying Circles so that we can better understand the monetization patterns of different segments. Families with teens, which we define as Circles with at least one member being a parent and one or more teens, between the ages of 13 to 19, are our key audience making up 39% of Circles and 56% of Paying Circles, as of March 31, 2024. Couples, which we define as Circles of two members with a spouse or partner, represent 18% of Circles and 11% of Paying Circles as of March 31, 2024. We believe we have an opportunity to drive member engagement and organic growth in new MAUs across all life stages and expand monetization beyond our core audience.</w:t>
      </w:r>
    </w:p>
    <w:p>
      <w:pPr>
        <w:spacing w:after="0" w:line="131" w:lineRule="exact"/>
        <w:rPr>
          <w:rFonts w:ascii="Times New Roman" w:cs="Times New Roman" w:eastAsia="Times New Roman" w:hAnsi="Times New Roman"/>
          <w:sz w:val="18"/>
          <w:szCs w:val="18"/>
          <w:color w:val="auto"/>
        </w:rPr>
      </w:pPr>
    </w:p>
    <w:p>
      <w:pPr>
        <w:jc w:val="both"/>
        <w:ind w:left="1320" w:hanging="322"/>
        <w:spacing w:after="0" w:line="25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Brand Awareness and Freemium Model Driving Powerful Network Effects: </w:t>
      </w:r>
      <w:r>
        <w:rPr>
          <w:rFonts w:ascii="Times New Roman" w:cs="Times New Roman" w:eastAsia="Times New Roman" w:hAnsi="Times New Roman"/>
          <w:sz w:val="18"/>
          <w:szCs w:val="18"/>
          <w:color w:val="auto"/>
        </w:rPr>
        <w:t>We have built a trusted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synonymous with family safety and location sharing, driving strong word-of-mouth virality and organic member growth. We estimate our brand awareness among parents in the U.S. to be 53% in October 2023, with a Net Promoter Score of greater than 50 for adults aged between 31-60 in the U.S. as of April 2024. This is supported by Life360’s position as a top five social networking mobile app by DAUs, with a 4.7 rating on the Apple App Store in the U.S., as of March 2024. Because app store rankings significantly impact a consumer’s decision to download an app, we believe our high app store ranking drives strong organic member acquisition for Life360. We also believe our freemium business model drives significant member scale, allowing us to keep paid marketing spend efficient. Any smartphone user can download and use select Life360 features without payment, and we have a proven ability to convert free members to subscribers over time. On average, for all members that registered from 2017 through March 2024, with respect to free members that converted to subscribers during the first three years, approximately 35% converted in the first 1 month, approximately 28% converted in the next 11 months, and approximately 37% converted in the next 24 months. This demonstrates our consistency in driving subscriber conversion over multiple years well after their initial acquisition. We leverage our deep data insights to upsell free members at select, intentional moments to convert them to subscribers, where they can access new features that increase their willingness to pay and drive higher ARPPC over time. Our strong brand and freemium business model have helped drive efficient member growth of 26% for the year ended December 31, 2023 (including 40% growth outside the U.S.), while sales and marketing expense as a</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580"/>
          </w:cols>
          <w:pgMar w:left="320" w:top="121"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18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6130" cy="711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spacing w:after="0" w:line="266" w:lineRule="auto"/>
        <w:rPr>
          <w:sz w:val="20"/>
          <w:szCs w:val="20"/>
          <w:color w:val="auto"/>
        </w:rPr>
      </w:pPr>
      <w:r>
        <w:rPr>
          <w:rFonts w:ascii="Times New Roman" w:cs="Times New Roman" w:eastAsia="Times New Roman" w:hAnsi="Times New Roman"/>
          <w:sz w:val="18"/>
          <w:szCs w:val="18"/>
          <w:color w:val="auto"/>
        </w:rPr>
        <w:t>percentage of revenue fell from 40% to 33% year-over-year. Between 2019 and 2023, our Life360 user acquisition cost, defined as the annual user acquisition spend divided by total new member registrations, was less than $1 per new member, driven by our strong word-of-mouth and disciplined approach to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jc w:val="both"/>
        <w:ind w:left="1000" w:hanging="326"/>
        <w:spacing w:after="0" w:line="260" w:lineRule="auto"/>
        <w:tabs>
          <w:tab w:leader="none" w:pos="9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Paying Circles presented prior to 2023 in the table above have been recast to reflect the calculations under the revised metric definition.</w:t>
      </w:r>
    </w:p>
    <w:p>
      <w:pPr>
        <w:spacing w:after="0" w:line="219" w:lineRule="exact"/>
        <w:rPr>
          <w:rFonts w:ascii="Times New Roman" w:cs="Times New Roman" w:eastAsia="Times New Roman" w:hAnsi="Times New Roman"/>
          <w:sz w:val="14"/>
          <w:szCs w:val="14"/>
          <w:color w:val="auto"/>
        </w:rPr>
      </w:pPr>
    </w:p>
    <w:p>
      <w:pPr>
        <w:jc w:val="both"/>
        <w:ind w:left="1320" w:hanging="322"/>
        <w:spacing w:after="0" w:line="253" w:lineRule="auto"/>
        <w:tabs>
          <w:tab w:leader="none" w:pos="131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Engaged Member Base: </w:t>
      </w:r>
      <w:r>
        <w:rPr>
          <w:rFonts w:ascii="Times New Roman" w:cs="Times New Roman" w:eastAsia="Times New Roman" w:hAnsi="Times New Roman"/>
          <w:sz w:val="18"/>
          <w:szCs w:val="18"/>
          <w:color w:val="auto"/>
        </w:rPr>
        <w:t>We believe our member experience is what has enabled the Life360 Platform to become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player in family safety and location sharing. We are focused on continually improving our member engagement, and have been able to do so in both the U.S. and internationally by enhancing the member experience, introducing new services, localizing content for international markets, and implementing infrastructure improvements. Our member base is highly entrenched in our platform—as more members join the Life360 Platform, our members are able to gain deeper insights into the activities of their Circles that are not replicable on any other social network. The charts below highlight the increasing size and retention of our MAUs and the conversion to and retention of our Paying Circles that have joined in each period presented. The MAU chart illustrates that our number of MAUs by member registration year has grown significantly over time (with the exception of COVID-related impacts in 2020, which significantly depressed new member registrations during 2020 and we believe is not indicative of our growth), driven by higher registrations and improving member retention, particularly internationally. The Paying Circles chart highlights the growth in our subscriber base as a result of the growth in MAUs and increases in conversion. The long-term conversion pattern of our free members to Paying Circles (as described in “Strong Brand Awareness and Freemium Model Driving Powerful Network Effects”) has historically supported our net subscriber retention for the Paying Circles by member registration year by helping to offset, at least partially, subscribers that leave the platform over time.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580"/>
          </w:cols>
          <w:pgMar w:left="320" w:top="12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36130" cy="8019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6130" cy="8019415"/>
                    </a:xfrm>
                    <a:prstGeom prst="rect">
                      <a:avLst/>
                    </a:prstGeom>
                    <a:noFill/>
                  </pic:spPr>
                </pic:pic>
              </a:graphicData>
            </a:graphic>
          </wp:anchor>
        </w:drawing>
      </w:r>
    </w:p>
    <w:p>
      <w:pPr>
        <w:sectPr>
          <w:pgSz w:w="11900" w:h="16838" w:orient="portrait"/>
          <w:cols w:equalWidth="0" w:num="1">
            <w:col w:w="10580"/>
          </w:cols>
          <w:pgMar w:left="320" w:top="121" w:right="99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320" w:hanging="322"/>
        <w:spacing w:after="0" w:line="254"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Value Proposition Enabling Expansion of Average Revenue per Paying Circle: </w:t>
      </w:r>
      <w:r>
        <w:rPr>
          <w:rFonts w:ascii="Times New Roman" w:cs="Times New Roman" w:eastAsia="Times New Roman" w:hAnsi="Times New Roman"/>
          <w:sz w:val="18"/>
          <w:szCs w:val="18"/>
          <w:color w:val="auto"/>
        </w:rPr>
        <w:t>We have leveraged our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proposition to members and tiered membership strategy to significantly increase our ARPPC with 16% year-over-year growth for U.S. Paying Circles as of the three months ending March 31, 2024, and 39% year-over-year growth for international Paying Circles in the same period. We have a strong track record of expanding ARPPC over time across both new and existing Paying Circles through a combination of higher pricing from the launch of triple tier memberships and price increases to new and existing Paying Circles. We expect this growth to continue as we benefit from recent triple tier membership launches in Canada, the UK and ANZ, and as members of our Paying Circles upgrade to higher priced tiers with additional features, including upsell opportunities with our hardware offering. We believe our subscriber retention dynamics combined with our ability to expand ARPPC provides visibility into our revenue. Net subscriber retention has historically been consistent across member registration years, driving net subscription revenue retention rate that is approximately 100% based on the average monthly</w:t>
      </w:r>
    </w:p>
    <w:p>
      <w:pPr>
        <w:sectPr>
          <w:pgSz w:w="11900" w:h="16838" w:orient="portrait"/>
          <w:cols w:equalWidth="0" w:num="1">
            <w:col w:w="10580"/>
          </w:cols>
          <w:pgMar w:left="320" w:top="121" w:right="999" w:bottom="97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80"/>
          </w:cols>
          <w:pgMar w:left="320" w:top="121" w:right="999" w:bottom="97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13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right="20"/>
        <w:spacing w:after="0" w:line="266" w:lineRule="auto"/>
        <w:rPr>
          <w:sz w:val="20"/>
          <w:szCs w:val="20"/>
          <w:color w:val="auto"/>
        </w:rPr>
      </w:pPr>
      <w:r>
        <w:rPr>
          <w:rFonts w:ascii="Times New Roman" w:cs="Times New Roman" w:eastAsia="Times New Roman" w:hAnsi="Times New Roman"/>
          <w:sz w:val="18"/>
          <w:szCs w:val="18"/>
          <w:color w:val="auto"/>
        </w:rPr>
        <w:t>subscription revenue for the six months ended December 31, 2023 compared to the prior six-month period. Our ability to continue to demonstrate trends like these is dependent on maintaining and expanding the value proposition of our platform, which supports member and subscriber retention and our ability to increase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jc w:val="both"/>
        <w:ind w:left="1000" w:hanging="326"/>
        <w:spacing w:after="0" w:line="260" w:lineRule="auto"/>
        <w:tabs>
          <w:tab w:leader="none" w:pos="99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ARPPC presented prior to 2023 in the table above have been recast to reflect the calculations under the revised metric definition.</w:t>
      </w:r>
    </w:p>
    <w:p>
      <w:pPr>
        <w:spacing w:after="0" w:line="138" w:lineRule="exact"/>
        <w:rPr>
          <w:rFonts w:ascii="Times New Roman" w:cs="Times New Roman" w:eastAsia="Times New Roman" w:hAnsi="Times New Roman"/>
          <w:sz w:val="14"/>
          <w:szCs w:val="14"/>
          <w:color w:val="auto"/>
        </w:rPr>
      </w:pPr>
    </w:p>
    <w:p>
      <w:pPr>
        <w:jc w:val="both"/>
        <w:ind w:left="1320" w:hanging="322"/>
        <w:spacing w:after="0" w:line="255" w:lineRule="auto"/>
        <w:tabs>
          <w:tab w:leader="none" w:pos="131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First-Data Advantage to Monetize Through Advertising: </w:t>
      </w:r>
      <w:r>
        <w:rPr>
          <w:rFonts w:ascii="Times New Roman" w:cs="Times New Roman" w:eastAsia="Times New Roman" w:hAnsi="Times New Roman"/>
          <w:sz w:val="18"/>
          <w:szCs w:val="18"/>
          <w:color w:val="auto"/>
        </w:rPr>
        <w:t>We introduced advertising to our platform in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2024, with the goal of providing our advertising partners access to Life360’s approximately 66.4 million MAUs globally. We believe we are well positioned to monetize our advertising offering, given our deterministic-based targeting due to our extensive first-party location data, our globally recognized brand, and our ability to provide brands a contextually relevant and safe place to engage with families. Our focus is to implement advertising while ensuring that we protect our core experience and our member’s data privacy, and we are encouraged by the success of early testing, which demonstrates a neutral impact on member engagement and customer satisfaction score. We believe advertising presents a strong opportunity to build on the overall member experience and capitalize on our data advantage.</w:t>
      </w:r>
    </w:p>
    <w:p>
      <w:pPr>
        <w:spacing w:after="0" w:line="130"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Comprehensive Product Suite with Breadth and Depth of Functionality: </w:t>
      </w:r>
      <w:r>
        <w:rPr>
          <w:rFonts w:ascii="Times New Roman" w:cs="Times New Roman" w:eastAsia="Times New Roman" w:hAnsi="Times New Roman"/>
          <w:sz w:val="18"/>
          <w:szCs w:val="18"/>
          <w:color w:val="auto"/>
        </w:rPr>
        <w:t>Since 2016, we have invested over $375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with 35 patents issued or pending underlying the key offerings of our platform (including patents covering battery power conservation; location fixing and tracking; behavioral pattern assessment in the use of a mobile device; member safety; notification management; usage monitoring and access control of applications; generation of notifications in a workout group; generation and sending of prepopulated messages to a selected group of mobile devices). Our technology spans a wide range of services, from emergency assistance to identity theft protection to stolen phone reimbursement, applicable for every member of the family from child to grandparent. We are continually expanding our platform for our members. Our acquisitions of Tile and Jiobit have driven further growth, conversion and retention by improving the overall member experience and providing access to a unified experience that brings together software and hardware.</w:t>
      </w:r>
    </w:p>
    <w:p>
      <w:pPr>
        <w:spacing w:after="0" w:line="134" w:lineRule="exact"/>
        <w:rPr>
          <w:rFonts w:ascii="Times New Roman" w:cs="Times New Roman" w:eastAsia="Times New Roman" w:hAnsi="Times New Roman"/>
          <w:sz w:val="18"/>
          <w:szCs w:val="18"/>
          <w:color w:val="auto"/>
        </w:rPr>
      </w:pPr>
    </w:p>
    <w:p>
      <w:pPr>
        <w:ind w:left="1320" w:right="20" w:hanging="322"/>
        <w:spacing w:after="0" w:line="286" w:lineRule="auto"/>
        <w:tabs>
          <w:tab w:leader="none" w:pos="131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and Device-Agnostic, with OS Neutrality and Interoperability: </w:t>
      </w:r>
      <w:r>
        <w:rPr>
          <w:rFonts w:ascii="Times New Roman" w:cs="Times New Roman" w:eastAsia="Times New Roman" w:hAnsi="Times New Roman"/>
          <w:sz w:val="18"/>
          <w:szCs w:val="18"/>
          <w:color w:val="auto"/>
        </w:rPr>
        <w:t>The Life360 suite of offerings is system- and device-agnostic, offering a cross-platform competitive advantage, especially in Android-heavy</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580"/>
          </w:cols>
          <w:pgMar w:left="320" w:top="12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30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spacing w:after="0" w:line="258" w:lineRule="auto"/>
        <w:rPr>
          <w:sz w:val="20"/>
          <w:szCs w:val="20"/>
          <w:color w:val="auto"/>
        </w:rPr>
      </w:pPr>
      <w:r>
        <w:rPr>
          <w:rFonts w:ascii="Times New Roman" w:cs="Times New Roman" w:eastAsia="Times New Roman" w:hAnsi="Times New Roman"/>
          <w:sz w:val="18"/>
          <w:szCs w:val="18"/>
          <w:color w:val="auto"/>
        </w:rPr>
        <w:t>locales. Our products and services work seamlessly for families, regardless of the different platforms and devices that each family member may elect to use. This is reflected in the composition of Paying Circles between platforms, with 45% of our total Paying Circles as of March 31, 2024 being cross-platform. This rises to nearly 50% for Paying Circles with more than three members. We believe we will continue to benefit from the increasing proliferation of connected devices across platforms given our platform agnostic approach.</w:t>
      </w:r>
    </w:p>
    <w:p>
      <w:pPr>
        <w:spacing w:after="0" w:line="125" w:lineRule="exact"/>
        <w:rPr>
          <w:sz w:val="20"/>
          <w:szCs w:val="20"/>
          <w:color w:val="auto"/>
        </w:rPr>
      </w:pPr>
    </w:p>
    <w:p>
      <w:pPr>
        <w:jc w:val="both"/>
        <w:ind w:left="1320" w:hanging="322"/>
        <w:spacing w:after="0" w:line="26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Founder-Led, Seasoned Management Team: </w:t>
      </w:r>
      <w:r>
        <w:rPr>
          <w:rFonts w:ascii="Times New Roman" w:cs="Times New Roman" w:eastAsia="Times New Roman" w:hAnsi="Times New Roman"/>
          <w:sz w:val="18"/>
          <w:szCs w:val="18"/>
          <w:color w:val="auto"/>
        </w:rPr>
        <w:t>Our leadership team is composed of highly experienced executives,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proven track record of scaling consumer technology and subscription businesses, led by our co-founder and Chief Executive Officer, Chris Hulls. We are aligned and focused on our opportunity to build the most trusted brand in technology for family safety.</w:t>
      </w:r>
    </w:p>
    <w:p>
      <w:pPr>
        <w:spacing w:after="0" w:line="122"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Business Model Driven by Recurring Revenue: </w:t>
      </w:r>
      <w:r>
        <w:rPr>
          <w:rFonts w:ascii="Times New Roman" w:cs="Times New Roman" w:eastAsia="Times New Roman" w:hAnsi="Times New Roman"/>
          <w:sz w:val="18"/>
          <w:szCs w:val="18"/>
          <w:color w:val="auto"/>
        </w:rPr>
        <w:t>We believe that we have a highly scalable business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maximizes our revenues and minimizes our costs. The recurring nature of our subscription business coupled with strong member retention provides near-term revenue visibility, while our free member base serves as a highly efficient subscriber acquisition funnel. Our strategy has enabled us to drive continued revenue growth, achieving 33% year-over-year total revenue growth for the year ended December 31, 2023 underpinned by 44% year-over-year growth in subscription revenue (representing 73% of total revenue) in the same period. We believe we have invested in the necessary infrastructure to support our future growth and are beginning to see the benefits of operating leverage as we scale. For the year ended December 31, 2023, operating expenses grew by only 4% year-over-year compared to our larger revenue growth. This has contributed to a significantly reduced net loss of $28.2 million for the year ended December 31, 2023, compared to a net loss of $91.6 million for the year ended December 31, 2022, and a material improvement in Adjusted EBITDA, scaling from a $40.1 million loss for the year ended December 31, 2022 to $20.6 million for the year ended December 31, 2023.</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Members in New and Existing Markets: </w:t>
      </w:r>
      <w:r>
        <w:rPr>
          <w:rFonts w:ascii="Times New Roman" w:cs="Times New Roman" w:eastAsia="Times New Roman" w:hAnsi="Times New Roman"/>
          <w:sz w:val="18"/>
          <w:szCs w:val="18"/>
          <w:color w:val="auto"/>
        </w:rPr>
        <w:t>We have both a strong foothold in the U.S. and a large and growing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member base. The Life360 app is currently available for download in 171 countries through the Apple App Store and 133 countries through the Google Play Store. Our members are our best acquisition engine, and we believe that word-of-mouth referrals will continue to drive strong new member growth. We plan to drive further market penetration through increased investments in international marketing and brand awareness, member acquisition initiatives, and the provision of new features into these regions. We successfully implemented our tiered offering in Canada in December 2021, followed by the UK in October 2023, and ANZ in April 2024. As of December 31, 2023, international members represented approximately 40% of our total MAUs, but accounted for approximately 12% of total revenue—further highlighting the large-scale opportunity to grow paying subscriptions and advertising in new and existing global markets. Furthermore, we have demonstrated our ability to quickly accelerate ARPPC and revenue growth following the launch of triple tier pricing in new markets, replacing the legacy two tiered subscriber offering. Relative to its pre-launch revenue and ARPPC, Canada demonstrated ARPPC growth of 31%, 49%, and 51% after 6, 12, and 18 months post-launch, respectively. The triple tier membership launch and price increase to existing legacy subscribers in the UK saw 53% ARPPC growth in the first 6 months relative to the pre-launch baseline.</w:t>
      </w:r>
    </w:p>
    <w:p>
      <w:pPr>
        <w:spacing w:after="0" w:line="133" w:lineRule="exact"/>
        <w:rPr>
          <w:rFonts w:ascii="Times New Roman" w:cs="Times New Roman" w:eastAsia="Times New Roman" w:hAnsi="Times New Roman"/>
          <w:sz w:val="18"/>
          <w:szCs w:val="18"/>
          <w:color w:val="auto"/>
        </w:rPr>
      </w:pPr>
    </w:p>
    <w:p>
      <w:pPr>
        <w:jc w:val="both"/>
        <w:ind w:left="1320" w:hanging="322"/>
        <w:spacing w:after="0" w:line="255"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Conversion from Free Members to Paid Subscriptions: </w:t>
      </w:r>
      <w:r>
        <w:rPr>
          <w:rFonts w:ascii="Times New Roman" w:cs="Times New Roman" w:eastAsia="Times New Roman" w:hAnsi="Times New Roman"/>
          <w:sz w:val="18"/>
          <w:szCs w:val="18"/>
          <w:color w:val="auto"/>
        </w:rPr>
        <w:t>We have built a scaled, global member base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66.4 million MAUs and believe we are still early in our opportunity to monetize our member base. We believe our value proposition will drive conversion from free to paid as we incorporate additional features that resonate across all life stages. As of March 31, 2024, MAUs in U.S. Paying Circles represented approximately 12% of our approximately 38.8 million U.S. MAUs, providing a strong runway for additional paid conversion. Similarly, MAUs in International Paying Circles represented approximately 5% of our approximately 27.5 million International MAUs. Life360 has a strong track record of Paying Circle growth with 1.9 million global Paying Circles as of March 31, 2024, an increase of 21% year-over-year (including 39% year-over-year growth for International Paying Circles).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80"/>
          </w:cols>
          <w:pgMar w:left="320" w:top="12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07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20" w:hanging="322"/>
        <w:spacing w:after="0" w:line="256"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Disciplined Expansion in New Use Cases and New Verticals: </w:t>
      </w:r>
      <w:r>
        <w:rPr>
          <w:rFonts w:ascii="Times New Roman" w:cs="Times New Roman" w:eastAsia="Times New Roman" w:hAnsi="Times New Roman"/>
          <w:sz w:val="18"/>
          <w:szCs w:val="18"/>
          <w:color w:val="auto"/>
        </w:rPr>
        <w:t>Product innovation lies at the heart of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leverage our core technologies to offer additional services, expand into more life stages of families and enter new verticals, we believe we will strengthen our value proposition to consumers. We leverage the insights we generate from our platform to further enhance our offering. While we primarily monetize members via subscriptions today, we launched advertisements in the first quarter of 2024 and hope to expand into new revenue streams (such as auto insurance, family financial services and elderly monitoring) by leveraging the trust we have with our members and the valuable data our platform generates.</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6"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Monetization of Free Members via Advertising: </w:t>
      </w:r>
      <w:r>
        <w:rPr>
          <w:rFonts w:ascii="Times New Roman" w:cs="Times New Roman" w:eastAsia="Times New Roman" w:hAnsi="Times New Roman"/>
          <w:sz w:val="18"/>
          <w:szCs w:val="18"/>
          <w:color w:val="auto"/>
        </w:rPr>
        <w:t>We believe advertising is a significant opportunity to monetize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base further, and we have developed a robust strategy to lean into this opportunity. Life360’s initial rollout is focused on pursuing programmatic relationships and paid partnerships while starting to leverage Life360’s unique, first-party data. Over time, we plan to expand our direct sales efforts to grow our advertiser base and pursue off-site advertising opportunities to help specific brands connect with our members organically and safely. Our priority is to implement advertising while ensuring that we enhance and protect our core experience, and we believe that we can achieve that while growing our advertising business significantly.</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7"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 Strategic Partnerships and Acquisition Opportunities: </w:t>
      </w:r>
      <w:r>
        <w:rPr>
          <w:rFonts w:ascii="Times New Roman" w:cs="Times New Roman" w:eastAsia="Times New Roman" w:hAnsi="Times New Roman"/>
          <w:sz w:val="18"/>
          <w:szCs w:val="18"/>
          <w:color w:val="auto"/>
        </w:rPr>
        <w:t>With our acquisitions of Tile and Jiobit and our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and investment in Hubble (which is still in initial stages and is subject to negotiation and execution of definitive documentation), we plan to leverage our platform to continue expanding into new verticals for pets, elderly monitoring, and the things that matter most to families. These acquisitions have been successful in accelerating our platform vision, driving growth, and delivering value. We may selectively pursue partnerships or acquisitions to accelerate our platform opportunity in the future, focusing on areas of differentiation that shore up our scale and competitive advantage.</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 the ASX, the investor relations page on our website (www.life360.com), press releases, public conference calls, and public webcasts.</w:t>
      </w:r>
    </w:p>
    <w:p>
      <w:pPr>
        <w:spacing w:after="0" w:line="108"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2007 under the name of LReady, Inc. and subsequently changed our name to Life360, Inc. Our principal executive offices are located at 1900 South Norfolk Street, Suite 310, San Mateo, California 94403. Our telephone number is</w:t>
      </w:r>
    </w:p>
    <w:p>
      <w:pPr>
        <w:jc w:val="both"/>
        <w:ind w:left="680" w:right="20" w:hanging="6"/>
        <w:spacing w:after="0" w:line="255" w:lineRule="auto"/>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 Our website address is www.life360.com. Information contained on, or that can be accessed through, our website is not incorporated by reference into this prospectus, and you should not consider information on our website to be part of this prospectus. We have included our website address as an inactive textual reference only.</w:t>
      </w:r>
    </w:p>
    <w:p>
      <w:pPr>
        <w:spacing w:after="0" w:line="132"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Life360 logo, and other trademarks, trade names or service marks of Life360, Inc. appearing in this prospectus are the property of Life360, Inc. All other trademarks, trade names and service marks appearing in this prospectus are the property of their respective owners.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The Securities We or Selling Securityholders May Offer</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or selling securityholders may offer shares of our common stock and preferred stock, if approved,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320" w:top="12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47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registration statement of which this prospectus is a part. We or selling securityholders may also offer common stock, preferred stock, if approved,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129" w:lineRule="exact"/>
        <w:rPr>
          <w:sz w:val="20"/>
          <w:szCs w:val="20"/>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171"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22" w:lineRule="exact"/>
        <w:rPr>
          <w:sz w:val="20"/>
          <w:szCs w:val="20"/>
          <w:color w:val="auto"/>
        </w:rPr>
      </w:pPr>
    </w:p>
    <w:p>
      <w:pPr>
        <w:jc w:val="both"/>
        <w:ind w:left="6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0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directly to investors or to or through agents, underwriters or dealers. We or selling securityholders and our or their agents, underwriters or dealers, reserve the right to accept or reject all or part of any proposed purchase of securities. If we or selling securityholders do offer securities to or through agents, underwriters or dealers, we will include in the applicable prospectus supplement:</w:t>
      </w:r>
    </w:p>
    <w:p>
      <w:pPr>
        <w:spacing w:after="0" w:line="126" w:lineRule="exact"/>
        <w:rPr>
          <w:sz w:val="20"/>
          <w:szCs w:val="20"/>
          <w:color w:val="auto"/>
        </w:rPr>
      </w:pPr>
    </w:p>
    <w:p>
      <w:pPr>
        <w:ind w:left="1320" w:hanging="322"/>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options to purchase additional shares or other options, if any;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if any.</w:t>
      </w:r>
    </w:p>
    <w:p>
      <w:pPr>
        <w:spacing w:after="0" w:line="169"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 may issue shares of our common stock from time to time, and the selling securityholders may offer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 to time. The holders of our common stock are entitled to one vote for each share held of record on all matters submitted to a vote of stockholders. Holders of our CDIs are entitled to one vote for every three CDIs they hold. Subject to preferences that may be applicable to any outstanding shares of preferred stock, if approved, the holders of common stock are entitled to receive ratably such dividends as may be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320" w:top="12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65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declared by our board of directors out of legally available funds. We do not anticipate paying any cash dividends in the foreseeable future. Upon our liquidation, dissolution or winding up, holders of our common stock are entitled to share ratably in all assets remaining after payment of liabilities and the liquidation preferences of any outstanding shares of preferred stock, if approved.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the heading “Description of Capital Stock — Common Stock.” We urge you, however, to read the applicable prospectus supplement (and any related free writing prospectus that we may authorize to be provided to you) related to any common stock being offered.</w:t>
      </w:r>
    </w:p>
    <w:p>
      <w:pPr>
        <w:spacing w:after="0" w:line="136"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If stockholders approve the Share Increase Amendment and Preferred Stock Amendment at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of the Preferred Stock Amendment Conditions (each as defined below), 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31"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If we sell any series of preferred stock under this prospectus, we will file with the SEC the form of any certificate of designation that contains the terms of the series of preferred stock we are offering. In this prospectus, we have summarized certain general features of the preferred stock under the heading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when available, that will contain the terms of the applicable series of preferred stock.</w:t>
      </w:r>
    </w:p>
    <w:p>
      <w:pPr>
        <w:spacing w:after="0" w:line="136"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We may issue debt securities from time to time, in one or more series, as either senior or subordinated debt or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 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3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 may issue warrants for the purchase of common stock, preferred stock and/or debt securities in one or more series.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issue warrants independently or in combination with common stock, preferred stock and/or debt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certificates, as applicable, that contain the terms of the warrants. We have filed the forms of the warrant agreements and forms of warrant certificates containing the terms of the warrants that may be offered as exhibits to the registration statement</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320" w:top="12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3801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6130" cy="380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2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left="680" w:right="20"/>
        <w:spacing w:after="0" w:line="258"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Unless the applicable prospectus supplement provides otherwise, we will not receive any of the proceeds from the sale of our securities by selling securityholders. See “Use of Proceeds” in this prospectus.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The applicable prospectus supplement will contain information, where applicable, as to other listings, if any, on any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320" w:top="12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139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6130" cy="513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SUMMARY SELECTED CONDENSED CONSOLIDATED FINANCIAL AND OTHER DATA</w:t>
      </w:r>
    </w:p>
    <w:p>
      <w:pPr>
        <w:spacing w:after="0" w:line="17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tables summarize our selected condensed consolidated financial and other data. We derived the summary selected unaudited condensed consolidated statements of operations data for the three months ended March 31, 2024 and 2023 and the summary selected unaudited condensed consolidated balance sheet data as of March 31, 2024 from our unaudited condensed consolidated financial statements included in our Quarterly Report on Form 10-Q to be filed with the SEC on May 9, 2024 (“Quarterly Report”). We derived the summary selected consolidated statements of operations data for the fiscal years ended December 31, 2023 and 2022 and the summary selected consolidated balance sheet data as of December 31, 2023 from our audited consolidated financial statements included in our Annual Report on Form 10-K filed with the SEC on February 29, 2024 (“Annual Report”). When you read this summary of consolidated financial and other data, it is important that you read it together with the historical consolidated financial statements and the related notes included in our Annual Report and Quarterly Report, as well as the sections titled “Management’s Discussion and Analysis of Financial Condition and Results of Operations” in each of our Annual Report and Quarterly Report. Our historical results are not necessarily indicative of the results to be expected for any future period, and our interim results are not necessarily indicative of results to be expected for the full year or any other period.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 for the First Quarter 2024</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78,227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18,214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60,013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66,392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10,688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100" w:type="dxa"/>
            <w:vAlign w:val="bottom"/>
          </w:tcPr>
          <w:p>
            <w:pPr>
              <w:spacing w:after="0"/>
              <w:rPr>
                <w:sz w:val="20"/>
                <w:szCs w:val="20"/>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1000" w:hanging="326"/>
        <w:spacing w:after="0" w:line="278" w:lineRule="auto"/>
        <w:tabs>
          <w:tab w:leader="none" w:pos="99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320" w:top="12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45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6130" cy="714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 for the First Quarter 2024</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120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tcBorders>
              <w:top w:val="single" w:sz="8" w:color="CCEEFF"/>
            </w:tcBorders>
            <w:shd w:val="clear" w:color="auto" w:fill="CCEEFF"/>
          </w:tcPr>
          <w:p>
            <w:pPr>
              <w:ind w:left="40"/>
              <w:spacing w:after="0" w:line="214"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Active Users (MAUs) - Global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84"/>
        </w:trPr>
        <w:tc>
          <w:tcPr>
            <w:tcW w:w="36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 Subscription</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(ARPPS)</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20"/>
                <w:szCs w:val="20"/>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83" w:lineRule="auto"/>
        <w:tabs>
          <w:tab w:leader="none" w:pos="99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Financial Highlights</w:t>
      </w:r>
    </w:p>
    <w:p>
      <w:pPr>
        <w:spacing w:after="0" w:line="175"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We had revenue of $78.2 million in the quarter ended March 31, 2024, an increase of 15% from our $68.1 million of revenue in the quarter ended March 31, 2023. Our net loss for the quarter ended March 31, 2024 was $9.8 million, a $4.3 million reduction from our $14.1 million net loss in the quarter ended March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Adjusted EBITDA was $4.3 million in the quarter ended March 31, 2024, an increase of $3.8 million compared to Adjusted EBITDA of $0.5 million for the quarter ended March 31, 2023. Our cash flow from operations was $10.7 million for the quarter ended March 31, 2024, an improvement of $19.9 million compared to $(9.2) million in the quarter ended March 31, 2023. We had $74.6 million of cash, cash equivalents and restricted cash as of March 31, 2024. Total commissions were $11.8 million and $10.3 million and represented 19.2% and 19.9% of total subscription revenue for the three months ended March 31, 2024 and 2023, respectively.</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Operating Highlights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MAUs grew approximately 4.9 million, or 8%, to 66.4 million for the quarter ended March 31, 2024. We had net Paying Circle additions of 96,000. Global Paying Circles grew to 1.9 million, a 21% increase over the prior year, supported by improved conversion and retention.</w:t>
      </w:r>
    </w:p>
    <w:p>
      <w:pPr>
        <w:spacing w:after="0" w:line="122"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Along with the UK Triple Tier Membership launch in October 2023, we included a price increase for existing UK subscribers in January 2024. The ANZ Triple Tier launched in late April 2024, following a price increase for existing ANZ subscribers.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320" w:top="121"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99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 for the Years Ended December 31, 2023 and 2022</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280" w:type="dxa"/>
            <w:vAlign w:val="bottom"/>
          </w:tcPr>
          <w:p>
            <w:pPr>
              <w:spacing w:after="0"/>
              <w:rPr>
                <w:sz w:val="13"/>
                <w:szCs w:val="13"/>
                <w:color w:val="auto"/>
              </w:rPr>
            </w:pPr>
          </w:p>
        </w:tc>
      </w:tr>
      <w:tr>
        <w:trPr>
          <w:trHeight w:val="194"/>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6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YoY</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1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1000" w:hanging="326"/>
        <w:spacing w:after="0" w:line="278" w:lineRule="auto"/>
        <w:tabs>
          <w:tab w:leader="none" w:pos="99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 for the Years Ended December 31, 2023 and 2022</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280" w:type="dxa"/>
            <w:vAlign w:val="bottom"/>
          </w:tcPr>
          <w:p>
            <w:pPr>
              <w:spacing w:after="0"/>
              <w:rPr>
                <w:sz w:val="13"/>
                <w:szCs w:val="13"/>
                <w:color w:val="auto"/>
              </w:rPr>
            </w:pPr>
          </w:p>
        </w:tc>
      </w:tr>
      <w:tr>
        <w:trPr>
          <w:trHeight w:val="196"/>
        </w:trPr>
        <w:tc>
          <w:tcPr>
            <w:tcW w:w="6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YoY</w:t>
            </w:r>
          </w:p>
        </w:tc>
      </w:tr>
      <w:tr>
        <w:trPr>
          <w:trHeight w:val="216"/>
        </w:trPr>
        <w:tc>
          <w:tcPr>
            <w:tcW w:w="6120" w:type="dxa"/>
            <w:vAlign w:val="bottom"/>
            <w:shd w:val="clear" w:color="auto" w:fill="CCEEFF"/>
          </w:tcPr>
          <w:p>
            <w:pPr>
              <w:ind w:left="40"/>
              <w:spacing w:after="0" w:line="215"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Active Users (MAUs) - Global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61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 (Adjusted for 2022)</w:t>
            </w:r>
            <w:r>
              <w:rPr>
                <w:rFonts w:ascii="Times New Roman" w:cs="Times New Roman" w:eastAsia="Times New Roman" w:hAnsi="Times New Roman"/>
                <w:sz w:val="23"/>
                <w:szCs w:val="23"/>
                <w:b w:val="1"/>
                <w:bCs w:val="1"/>
                <w:color w:val="auto"/>
                <w:vertAlign w:val="superscript"/>
              </w:rPr>
              <w:t>(1)(2)(3)</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Subscription (ARPPS)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1000" w:right="20" w:hanging="326"/>
        <w:spacing w:after="0" w:line="259" w:lineRule="auto"/>
        <w:tabs>
          <w:tab w:leader="none" w:pos="99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jc w:val="both"/>
        <w:ind w:left="1000" w:hanging="326"/>
        <w:spacing w:after="0" w:line="257" w:lineRule="auto"/>
        <w:tabs>
          <w:tab w:leader="none" w:pos="99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as of and for the periods ended December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spacing w:after="0" w:line="2" w:lineRule="exact"/>
        <w:rPr>
          <w:rFonts w:ascii="Times New Roman" w:cs="Times New Roman" w:eastAsia="Times New Roman" w:hAnsi="Times New Roman"/>
          <w:sz w:val="14"/>
          <w:szCs w:val="14"/>
          <w:color w:val="auto"/>
        </w:rPr>
      </w:pPr>
    </w:p>
    <w:p>
      <w:pPr>
        <w:ind w:left="1000" w:hanging="326"/>
        <w:spacing w:after="0" w:line="283" w:lineRule="auto"/>
        <w:tabs>
          <w:tab w:leader="none" w:pos="99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320" w:top="121"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1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2023 Financial Highlights</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had revenue of $304.5 million for the year ended December 31, 2023, an increase of 33% from our $228.3 million of revenue for the year ended December 31, 2022. Our net loss for the year ended December 31, 2023 was $28.2 million, a $63.4 million reduction from our $91.6 million net loss for the year ended December 31, 2022. Adjusted EBITDA was $20.6 million for the year ended December 31, 2023, an increase of $60.7 million compared to Adjusted EBITDA of $(40.1) million for the year ended December 31, 2022. Our cash flow from operations was $7.5 million for the year ended December 31, 2023, an improvement of $64.6 million compared to $(57.1) million for the year ended December 31, 2022. We had $70.7 million of cash, cash equivalents and restricted cash as of December 31, 2023.</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had subscription revenue of $220.8 million in the year ended December 31, 2023, an increase of 44% from our $153.3 million of subscription revenue in the year ended December 31, 2022, benefiting from U.S. price increases for new Paying Circles and the repricing of existing U.S. iOS and Android Paying Circles.</w:t>
      </w:r>
    </w:p>
    <w:p>
      <w:pPr>
        <w:spacing w:after="0" w:line="122"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Hardware revenue in 2023 increased 21% year-over-year, with a usual seasonal uplift in the fourth quarter of 2023. Key drivers were the 12% uplift in hardware units sold compared to 2022, stable ASP, and contribution from bundling with Life360 subscriptions. Other revenue of $25.5 million in 2023 was down slightly year-over-year, reflecting the transition to a single data partnership beginning January 2022.</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Total commissions expenses, which are revenue-share payments in connection with subscription sales on third-party app store platforms, were $42.7 million and $31.4 million and represented 19.3% and 20.5% of subscription revenue for the years ended December 31, 2023 and December 31, 2022, respectively.</w:t>
      </w:r>
    </w:p>
    <w:p>
      <w:pPr>
        <w:spacing w:after="0" w:line="122"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improved from 2022 to 2023, driven by cost structure improvements and increased operating leverage as a result of focusing on financial discipline in our business. Adjusted EBITDA of $20.6 million and net loss of $28.2 million for the year ended December 31, 2023 both delivered a significant improvement from the prior year and reflect meaningful progress on our path to profitability. In 2023, Operating expenses increased just 4% year-over-year, and decreased 1% excluding variable commissions, reflecting our disciplined approach to costs.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2023 Operating Highlights</w:t>
      </w:r>
    </w:p>
    <w:p>
      <w:pPr>
        <w:spacing w:after="0" w:line="175"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The Company demonstrated significant operating leverage in 2023 with revenue growth of $76.2 million on an operating expense increase of $9.6 million, yielding increasing Adjusted EBITDA margins and positive Adjusted EBITDA in each quarter. Global MAUs grew nearly 13 million or 26% to 61.4 million in 2023, driven by ongoing investment in our core location sharing experience. International MAUs grew 7 million, or 40% to 24.6 million in 2023 as we increased the speed and responsiveness of the app, and achieved international feature parity with the U.S. Our current international Triple Tier markets of focus - Canada, the UK and ANZ - all delivered significant growth, with particular outperformance in the UK and ANZ.</w:t>
      </w:r>
    </w:p>
    <w:p>
      <w:pPr>
        <w:spacing w:after="0" w:line="13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In 2023, global net Paying Circle additions were 307,000, with global Paying Circles of 1.8 million in 2023, up 21%, despite significant price increases implemented in the third and fourth quarter of 2022 and second quarter of 2023, underscoring the value our subscribers perceive in the Life360 services. Global ARPPC was 25% higher for the year ended December 31, 2023. U.S. Average Revenue Per Paying Circle (ARPPC) increased 32% in 2023 compared to 2022, driven by price increases. International Paying Circles increased 43% from 2022 to 2023 to 474,000, benefiting from strong growth in both the UK and ANZ. Triple Tier Membership launched in the UK in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320" w:top="12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036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6130" cy="503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40" w:type="dxa"/>
            <w:vAlign w:val="bottom"/>
            <w:gridSpan w:val="7"/>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60" w:type="dxa"/>
            <w:vAlign w:val="bottom"/>
          </w:tcPr>
          <w:p>
            <w:pPr>
              <w:spacing w:after="0"/>
              <w:rPr>
                <w:sz w:val="11"/>
                <w:szCs w:val="11"/>
                <w:color w:val="auto"/>
              </w:rPr>
            </w:pPr>
          </w:p>
        </w:tc>
        <w:tc>
          <w:tcPr>
            <w:tcW w:w="88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tcPr>
          <w:p>
            <w:pPr>
              <w:jc w:val="right"/>
              <w:ind w:right="12"/>
              <w:spacing w:after="0" w:line="136"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8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Life360 Core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Monthly Active Users (MAUs) -</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84"/>
        </w:trPr>
        <w:tc>
          <w:tcPr>
            <w:tcW w:w="2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 Circle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(ARPPC)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40"/>
              <w:spacing w:after="0" w:line="179" w:lineRule="exact"/>
              <w:rPr>
                <w:sz w:val="20"/>
                <w:szCs w:val="20"/>
                <w:color w:val="auto"/>
              </w:rPr>
            </w:pPr>
            <w:r>
              <w:rPr>
                <w:rFonts w:ascii="Times New Roman" w:cs="Times New Roman" w:eastAsia="Times New Roman" w:hAnsi="Times New Roman"/>
                <w:sz w:val="18"/>
                <w:szCs w:val="18"/>
                <w:b w:val="1"/>
                <w:bCs w:val="1"/>
                <w:color w:val="auto"/>
              </w:rPr>
              <w:t>Life360 Consolidated (Adjusted for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960" w:type="dxa"/>
            <w:vAlign w:val="bottom"/>
          </w:tcPr>
          <w:p>
            <w:pPr>
              <w:ind w:left="200"/>
              <w:spacing w:after="0" w:line="240"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4"/>
        </w:trPr>
        <w:tc>
          <w:tcPr>
            <w:tcW w:w="2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(ARPPS)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Annualized Monthly Revenue (AMR)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shd w:val="clear" w:color="auto" w:fill="CCEEFF"/>
              </w:rPr>
              <w:t>284.7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239.5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248.7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224.4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139.8</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1000" w:hanging="326"/>
        <w:spacing w:after="0" w:line="278" w:lineRule="auto"/>
        <w:tabs>
          <w:tab w:leader="none" w:pos="9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320" w:top="12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73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Annualized Monthly Revenue</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We use AMR to identify the annualized monthly value of active customer agreements at the end of a reporting period. AMR includes the annualized monthly value of Life360 subscription, data and partnership agreements. All components of these agreements that are not expected to recur are excluded. This does not represent revenue under GAAP on an annualized basis, as the operating metric can be impacted by start and end dates and renewal rates.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An MAU is defined as a unique user who engages with our Life360 branded services each month, which includes both paying and non-paying members. A Life360 MAU is defined as a unique member who engages with our Life360 application each month, which includes both paying and non-paying members.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Paying Circles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Circle</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define ARPPC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75"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Jiobit and Tile brands who have been billed as of the end of the period.</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320" w:top="12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487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Subscription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ARPPS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Hardware Units Shipped</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Average Selling Price</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recognized, excluding certain revenue adjustments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such as EBITDA, Adjusted EBITDA and non-GAAP operating expenses, to make operating decisions, including those related to operating expenses, evaluation performance and perform strategic planning and annual budgeting. Additionally, the non-GAAP financial information provides useful information to investors and others in understanding and evaluating our results of operations and operating efficiency, as well as providing useful measures for period-to-period comparisons of our business performance.</w:t>
      </w:r>
    </w:p>
    <w:p>
      <w:pPr>
        <w:spacing w:after="0" w:line="129"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w:t>
      </w: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(i) convertible notes and derivative liability fair value adjustments, (ii) provision for (benefit from) income taxes, (iii) depreciation and amortization, (iv) other income (expense), net, (v) stock-based compensation, (vi) Form 10 transaction costs, (vii) acquisition and integration costs, (viii) workplace restructuring costs, (ix) inventory write-offs, (x) adjustment in connection with membership benefit, (xi) warehouse relocation costs and (xii) the revaluation of contingent consideration. We define Adjusted EBITDA margin as Adjusted EBITDA as a percent of revenue.</w:t>
      </w:r>
    </w:p>
    <w:p>
      <w:pPr>
        <w:spacing w:after="0" w:line="129"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We refer to Adjusted EBITDA and Adjusted EBITDA margin because they are important measures management uses to assess our operating performance and the operating leverage in our business. Because Adjusted EBITDA and Adjusted EBITDA margin facilitate internal comparisons of our historical operating performance, including as an indication of our revenue growth and operating efficiencies, we use them to evaluate the effectiveness of our strategic initiatives and for business planning purposes. We believe that Adjusted EBITDA, and Adjusted EBITDA margin, when taken collectively, may be useful to investors because they provide consistency and comparability with past financial performance, so that investors can evaluate our operating efficiencies by</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320" w:top="121"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3767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6130" cy="376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excluding certain items that may not be indicative of our business, results of operations, or outlook. In addition, we believe Adjusted EBITDA is widely used by investors, securities analysts, ratings agencies, and other parties in evaluating companies in our industry as a measure of operational performance.</w:t>
      </w:r>
    </w:p>
    <w:p>
      <w:pPr>
        <w:spacing w:after="0" w:line="122"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as alternatives to net income (loss), net income (loss) as a percent of revenue, or any other measure of financial performance calculated and presented in accordance with GAAP. There are a number of limitations related to the use of Adjusted EBITDA and Adjusted EBITDA margin rather than net income (loss) and net income (loss) as a percent of revenue, which are the most directly comparable GAAP measures. Some of these limitations are that each of Adjusted EBITDA and Adjusted EBITDA margin:</w:t>
      </w:r>
    </w:p>
    <w:p>
      <w:pPr>
        <w:spacing w:after="0" w:line="129" w:lineRule="exact"/>
        <w:rPr>
          <w:sz w:val="20"/>
          <w:szCs w:val="20"/>
          <w:color w:val="auto"/>
        </w:rPr>
      </w:pPr>
    </w:p>
    <w:p>
      <w:pPr>
        <w:ind w:left="1320" w:hanging="322"/>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and expense;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income taxes that reduces cash available to us.</w:t>
      </w:r>
    </w:p>
    <w:p>
      <w:pPr>
        <w:spacing w:after="0" w:line="171"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320" w:top="12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25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6130" cy="762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margins)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(6,541)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(28,171)</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 (91,629)</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 (33,557)</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loss margin</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(deduct):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Convertible notes fair</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value adjustment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684</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Derivative liability fair</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value adjustment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(1,295)</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184"/>
        </w:trPr>
        <w:tc>
          <w:tcPr>
            <w:tcW w:w="1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Provision for income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616</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Depreciation and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9,141</w:t>
            </w:r>
          </w:p>
        </w:tc>
        <w:tc>
          <w:tcPr>
            <w:tcW w:w="10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9,199</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184"/>
        </w:trPr>
        <w:tc>
          <w:tcPr>
            <w:tcW w:w="1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(3,228)</w:t>
            </w: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(20,842)</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 (85,212)</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 (31,386)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line="171" w:lineRule="exact"/>
              <w:rPr>
                <w:sz w:val="20"/>
                <w:szCs w:val="20"/>
                <w:color w:val="auto"/>
              </w:rPr>
            </w:pPr>
            <w:r>
              <w:rPr>
                <w:rFonts w:ascii="Times New Roman" w:cs="Times New Roman" w:eastAsia="Times New Roman" w:hAnsi="Times New Roman"/>
                <w:sz w:val="18"/>
                <w:szCs w:val="18"/>
                <w:color w:val="auto"/>
              </w:rPr>
              <w:t>Stock-based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9,454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38,512</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34,680</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10 transaction costs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3,766</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Acquisition and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integration costs</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11,949</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Workplace restructuring</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4,024</w:t>
            </w:r>
          </w:p>
        </w:tc>
        <w:tc>
          <w:tcPr>
            <w:tcW w:w="10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19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Write-off of obsolete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inventory</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916</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Adjustment in connection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with membership</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(2,172)</w:t>
            </w:r>
          </w:p>
        </w:tc>
        <w:tc>
          <w:tcPr>
            <w:tcW w:w="104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benefit</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Warehouse relocation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(6)</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121</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(Gain)/loss on revaluation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of contingent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(5,279)</w:t>
            </w: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5,686</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5,479</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8,887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20,559</w:t>
            </w:r>
          </w:p>
        </w:tc>
        <w:tc>
          <w:tcPr>
            <w:tcW w:w="10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 (40,096)</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 (13,104)</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1000" w:hanging="326"/>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change in fair value of the September 2021 Convertible Notes and derivative liability associated with the July 2021 Convertible Notes.</w:t>
      </w:r>
    </w:p>
    <w:p>
      <w:pPr>
        <w:spacing w:after="0" w:line="11"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on fixed assets and amortization of acquired intangible assets.</w:t>
      </w:r>
    </w:p>
    <w:p>
      <w:pPr>
        <w:spacing w:after="0" w:line="1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personnel and severance related expenses in connection with the workplace restructuring announced on January 12, 2023.</w:t>
      </w:r>
    </w:p>
    <w:p>
      <w:pPr>
        <w:spacing w:after="0" w:line="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write-off of raw materials that have no alternative use to the Company following the decision to halt development.</w:t>
      </w:r>
    </w:p>
    <w:p>
      <w:pPr>
        <w:spacing w:after="0" w:line="11" w:lineRule="exact"/>
        <w:rPr>
          <w:rFonts w:ascii="Times New Roman" w:cs="Times New Roman" w:eastAsia="Times New Roman" w:hAnsi="Times New Roman"/>
          <w:sz w:val="14"/>
          <w:szCs w:val="14"/>
          <w:color w:val="auto"/>
        </w:rPr>
      </w:pPr>
    </w:p>
    <w:p>
      <w:pPr>
        <w:ind w:left="1000" w:hanging="326"/>
        <w:spacing w:after="0" w:line="261" w:lineRule="auto"/>
        <w:tabs>
          <w:tab w:leader="none" w:pos="99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an adjustment recorded to reduce product costs recorded to cost of revenue in connection with the discontinuation of certain battery related membership benefits.</w:t>
      </w:r>
    </w:p>
    <w:p>
      <w:pPr>
        <w:ind w:left="1000" w:hanging="326"/>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warehouse relocation costs in relation to the Company’s transition to a new logistics partner.</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320" w:top="121"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2104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6130" cy="210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Operating Expense Reconciliation</w:t>
      </w:r>
    </w:p>
    <w:p>
      <w:pPr>
        <w:spacing w:after="0" w:line="229"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Non-GAAP operating expenses present direct and indirect expenses adjusted for non-recurring, non-cash expenses, such as stock-based compensation, depreciation and amortization, workplace restructuring costs, write-off of obsolete inventory, and convertible notes and derivative liability fair value adjustments. Non-GAAP operating expense information is useful to investors and others in understanding and evaluating our operating efficiency as well as providing a useful measure for period-to-period comparisons of our business performance. A reconciliation of GAAP operating expenses to non-GAAP operating expenses has been provided as supplementary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320" w:top="12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871"/>
        </w:trPr>
        <w:tc>
          <w:tcPr>
            <w:tcW w:w="660" w:type="dxa"/>
            <w:vAlign w:val="bottom"/>
            <w:tcBorders>
              <w:top w:val="single" w:sz="8" w:color="auto"/>
              <w:left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 w:type="dxa"/>
            <w:vAlign w:val="bottom"/>
            <w:tcBorders>
              <w:left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9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 w:type="dxa"/>
            <w:vAlign w:val="bottom"/>
            <w:tcBorders>
              <w:left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90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top w:val="single" w:sz="8" w:color="auto"/>
            </w:tcBorders>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60" w:type="dxa"/>
            <w:vAlign w:val="bottom"/>
            <w:tcBorders>
              <w:left w:val="single" w:sz="8" w:color="auto"/>
            </w:tcBorders>
          </w:tcPr>
          <w:p>
            <w:pPr>
              <w:spacing w:after="0"/>
              <w:rPr>
                <w:sz w:val="16"/>
                <w:szCs w:val="16"/>
                <w:color w:val="auto"/>
              </w:rPr>
            </w:pP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0" w:type="dxa"/>
            <w:vAlign w:val="bottom"/>
            <w:tcBorders>
              <w:left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tcBorders>
              <w:top w:val="single" w:sz="8" w:color="CCEEFF"/>
            </w:tcBorders>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76,145</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82,527</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43,537</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Non-GAAP</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Sales and marketing expense,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47,473</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tcBorders>
              <w:top w:val="single" w:sz="8" w:color="CCEEFF"/>
            </w:tcBorders>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Sales and marketing expense,</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90,912</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83,811</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46,575</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Non-GAAP</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Non-GAAP</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 GAAP</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Operating expenses, Non-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57,293</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195,159</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103,793</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-5565140</wp:posOffset>
            </wp:positionV>
            <wp:extent cx="6283325"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-5033645</wp:posOffset>
            </wp:positionV>
            <wp:extent cx="628332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-4622165</wp:posOffset>
            </wp:positionV>
            <wp:extent cx="628332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-4184650</wp:posOffset>
            </wp:positionV>
            <wp:extent cx="6283325"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-3653155</wp:posOffset>
            </wp:positionV>
            <wp:extent cx="628332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-3241675</wp:posOffset>
            </wp:positionV>
            <wp:extent cx="628332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-2804795</wp:posOffset>
            </wp:positionV>
            <wp:extent cx="6283325"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-2273300</wp:posOffset>
            </wp:positionV>
            <wp:extent cx="628332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-1861820</wp:posOffset>
            </wp:positionV>
            <wp:extent cx="628332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-1544320</wp:posOffset>
            </wp:positionV>
            <wp:extent cx="6283325"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-1012825</wp:posOffset>
            </wp:positionV>
            <wp:extent cx="628332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833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as well as any amendments thereto reflected in subsequent Quarterly Reports on Form 10-Q and other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herein by reference, contain “forward-looking statements” within the meaning of Section 27A of the Securities Act and Section 21E of the Securities Exchange Act of 1934, as amended (the “Exchange Act”).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“may,” “might,” “will,” “could,” “would,” “should,” “expect,” “plan,” “anticipate,” “intend,” “seek,” “believe,” “estimate,” “predict,” “potential,” “continue,” “contemplate,” “possible” or the negative of these words or other similar terms or expressions. These forward-looking statements include, but are not limited to, statements concerning the following:</w:t>
      </w:r>
    </w:p>
    <w:p>
      <w:pPr>
        <w:spacing w:after="0" w:line="135" w:lineRule="exact"/>
        <w:rPr>
          <w:sz w:val="20"/>
          <w:szCs w:val="20"/>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penetrate our existing member base, maintain and expand our member base, increase monetization of our member base, and leverage our core experience to expand in new use cases;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brand awareness and customer adoption of our platform through various programs and digital and broad-scale advertising;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developments, and challenges in our industry, business and in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and business plan and our ability to effectively manage our growth and meet future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offerings internationally and the significance of our global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location sharing services, tracking products and digital subscription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increase our targeted marketing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 including suppliers, manufacturers and fulfillment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the success of, new monetization features, such as the introduction of advertisements in our app, and improve on existing features;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and increased sales on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skilled personnel, including key members of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Tile and Jiobit, and to expand and diversify our operations through strategic acquisitions and partnerships;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partnership with Hubble and successfully build a global finding network;</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future financial performance, including our expectations regarding our revenue, cost of revenue, and operating expenses, and our ability to achieve or maintain future profitability;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 economic downturn or economic uncertainty on consumer discretionary spending and demand for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use of proceeds from offerings under this prospectus and any related prospectus supplement.</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and uncertainties under the heading “Risk Factors” contained in the applicable prospectus supplement, in any free writing prospectuses we may authorize for use in connection with a specific offering, and in our most recent Annual Report on Form 10-K, as updated, amended, or superseded by the risks and uncertainties described under similar headings in our subsequent Quarterly Reports on Form 10-Q and other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we will not receive any of the proceeds from the sale of our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Certificate of Incorporation and Bylaws are summaries and are qualified by reference to the Certificate of Incorporation and the Bylaws. Copies of these documents are filed with the SEC as exhibits to our registration statement, of which this prospectus forms a part.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2024, our board of directors adopted resolutions approving, subject to stockholder approval, amendments to our Certificate of Incorporation (i) to increase the authorized number of shares of our common stock from 100,000,000 shares to 500,000,000 shares (the “Share Increase Amendment”); (ii) to authorize 50,000,000 shares of “blank check” preferred stock, issuable in one or more series (the “Preferred Stock Amendment”); (iii) to permit the chairperson of the board of directors, the board of directors, or the chief executive officer of the Company to call a special meeting of our stockholders, with the effect of removing the ability of certain stockholders to call a special meeting (the “Special Meeting Amendment”); (iv) to eliminate or limit the liability of the Company’s officers to the extent permitted under Delaware law; and (v) to add a new provision that, unless the Company selects or consents in writing to the selection of an alternative forum, the sole and exclusive forum for the resolution of any complainant asserting a cause of action arising under the Securities Act shall be the U.S. federal district courts (such amendments, collectively, “Charter Amendment Proposals”). If stockholders approve any of the Charter Amendment Proposals at our Annual Meeting of Stockholders to be held on May 30, 2024 (the “Annual Meeting”), we expect to file a certificate of amendment to our Certificate of Incorporation with the Secretary of State of the State of Delaware setting forth the amendments contemplated by any proposals that are approved by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stock currently consists of 100,000,000 shares, all with a par value $0.001 per share, all of which are designated as common stock. As of March 31, 2024, we had 69,440,062 shares of our common stock outstanding, including all shares of our common stock underlying all issued and outstanding CDIs.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2024, our board of directors adopted resolutions approving, subject to stockholder approval, (i) the Share Increase Amendment and (ii) the Preferred Stock Amendment. The Preferred Stock Amendment is conditional on each of (i) the approval and effectiveness of the Share Increase Amendment, (ii) the consummation of a public offering of our common stock and related listing on a national securities exchange in the United States, if any, and (iii) changing our admission category on the ASX to a “Foreign Exempt Listing,” such change to admission category being subject to the listing rules of the ASX that govern the admission, quotation and removal of securities from the ASX official list, as amended from time to time (such conditions, the “Preferred Stock Amendment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stockholders approve the Share Increase Amendment and Preferred Stock Amendment at the Annual Meeting and subject to the satisfaction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Amendment Conditions, our authorized capital stock will consist of 550,000,000 shares, all with a par value of $0.001 per share, of which:</w:t>
      </w:r>
    </w:p>
    <w:p>
      <w:pPr>
        <w:spacing w:after="0" w:line="153"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will be designated as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will be designated as preferred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our common stock is entitled to one vote for each share of common stock held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except as otherwise expressly provided in our Certificate of Incorporation or required by applicable law. Holders of our CDIs are entitled to one vote for every three CDIs they hold. Cumulative voting for the election of directors is not provided for in our Certificate of Incorporation, which means that the directors then standing for election can be elected by a plurality of votes of shares of common stock cast at the election.</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and Distributions. </w:t>
      </w:r>
      <w:r>
        <w:rPr>
          <w:rFonts w:ascii="Times New Roman" w:cs="Times New Roman" w:eastAsia="Times New Roman" w:hAnsi="Times New Roman"/>
          <w:sz w:val="18"/>
          <w:szCs w:val="18"/>
          <w:color w:val="auto"/>
        </w:rPr>
        <w:t>Subject to preferences that may apply to any shares of preferred stock outstanding at the time, if approved, or any prior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apply to shares of our common stock outstanding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outstanding shares of our common stock are entitled to receive dividends out of funds legally available at the times and in the amounts that our board of directors may determine. We do not anticipate paying any cash dividends in the foreseeable future.</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among the holders of our common stock and, if approved, any participating preferred stock outstanding at that time after payment of liquidation preferences, if any, on any outstanding shares of preferred stock and payment of other claims of creditors.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our common stock are subject to, and may be adversely affected by, the rights of holders of shares of any series of preferred stock that we may designate and issue in the future, if approved.</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Preemptive or Similar Rights</w:t>
      </w:r>
      <w:r>
        <w:rPr>
          <w:rFonts w:ascii="Times New Roman" w:cs="Times New Roman" w:eastAsia="Times New Roman" w:hAnsi="Times New Roman"/>
          <w:sz w:val="18"/>
          <w:szCs w:val="18"/>
          <w:color w:val="auto"/>
        </w:rPr>
        <w:t>. Our common stock is not entitled to preemptive rights and is not subject to conversion,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stockholders approve the Share Increase Amendment and Preferred Stock Amendment at the Annual Meeting and subject to the satisfaction of the Preferred Stock Amendment Conditions,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these holders will receive dividend payments and payments upon liquidation. In addition, the issuance of preferred stock could have the effect of delaying, deferring or preventing a change of control or other corporate action. We have no present plan to issue any shares of preferred stock.</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If stockholders approve the Share Increase Amendment and Preferred Stock Amendment at the Annual Meeting and subject to the satisfaction of the Preferred Stock Amendment Conditions, we will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29"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considerations applicable to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our common stock are traded on the ASX in the form of CDIs, under the ASX trading code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CDN, an Australian depositary nominee.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differences between holding CDIs and shares of our common stock. The major differences are that:</w:t>
      </w:r>
    </w:p>
    <w:p>
      <w:pPr>
        <w:spacing w:after="0" w:line="171" w:lineRule="exact"/>
        <w:rPr>
          <w:sz w:val="20"/>
          <w:szCs w:val="20"/>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do not have legal title in the underlying shares of our common stock to which the CDIs relate (the chain of title in the shares underlying the CDIs is summarized above);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are not able to vote personally as stockholders at a meeting of Life360. Instead, CDI holders are provided with a voting instruction form which will enable them to instruct the depositary nominee in relation to the exercise of voting rights.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Alternatively, CDI holders can transmute their CDIs into shares of our common stock in sufficient time before the relevant meeting, in which case they will be able to vote personally as stockholders of Life360.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including if further amended by any of the Charter Amendment Proposals, and Bylaws, contain provisions that could make the following transactions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by our board of directors, the chairperson of our board of directors, chief executive officer, president, or by one or more stockholders holding shares in the aggregate entitled to cast not less than 10 percent of the votes at the meeting.</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stockholders approve the Special Meeting Amendment, our Bylaws will be amended to remove the ability of certain stockholders to call a special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the nomination of candidates for election as directors, other than nominations made by or at the direction of the board of directors or a committee of the board of directors.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Members of our board of directors may be removed from office for cause by a majority of our stockholders. In addition, the Bylaws provide that any newly created directorship on our board of directors that results from an increase in the number of directors and any vacancy occurring on our board of directors may only be filled by a majority of the directors then in office, although less than a quorum, or by a sole remaining director (and not by the stockholders).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General Corporation Law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08" w:lineRule="exact"/>
        <w:rPr>
          <w:sz w:val="20"/>
          <w:szCs w:val="20"/>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171"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The applicable prospectus supplement will contain information, where applicable, as to other listings, if any, on any other securities exchange of the securities covered by the applicable prospectus supplement.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may be offered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71"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29"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08"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71"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occurrence, or the occurrence and the continuance, of a default in any such additional covenants, restrictions, conditions or provisions an event of default or to surrender any right or power conferred upon us in the indenture;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2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0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71" w:lineRule="exact"/>
        <w:rPr>
          <w:sz w:val="20"/>
          <w:szCs w:val="20"/>
          <w:color w:val="auto"/>
        </w:rPr>
      </w:pPr>
    </w:p>
    <w:p>
      <w:pPr>
        <w:jc w:val="both"/>
        <w:ind w:left="66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71"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171" w:lineRule="exact"/>
        <w:rPr>
          <w:sz w:val="20"/>
          <w:szCs w:val="20"/>
          <w:color w:val="auto"/>
        </w:rPr>
      </w:pPr>
    </w:p>
    <w:p>
      <w:pPr>
        <w:ind w:left="66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108"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171" w:lineRule="exact"/>
        <w:rPr>
          <w:sz w:val="20"/>
          <w:szCs w:val="20"/>
          <w:color w:val="auto"/>
        </w:rPr>
      </w:pPr>
    </w:p>
    <w:p>
      <w:pPr>
        <w:ind w:left="660" w:hanging="328"/>
        <w:spacing w:after="0" w:line="282"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The initial purchasers of our securities, as well as their transferees, pledgees, donees or successors, all of whom we refer to as “selling securityholders,” may from time to time offer and sell the securities pursuant to this prospectus and any applicable prospectus supplement.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from time to time pursuant to underwritten public offerings, direct sales to the public, “at the market” offerings, negotiated transactions, block trades or a combination of these methods. We or selling securityholders may sell the securities to or through one or more underwriters or dealers, through agents, or directly to one or more purchasers. We or selling securityholders may distribute securities from time to time in one or more transactions:</w:t>
      </w:r>
    </w:p>
    <w:p>
      <w:pPr>
        <w:spacing w:after="0" w:line="126"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08"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agents or other purchasers,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or selling securityholders,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may purchase additional securities from us or selling securityholders;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or selling securityholders may use underwriters, dealers or agents with whom we have a material relationship. We will describe in the prospectus supplement, naming the underwriter, dealer or agent,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securities directly or through agents we designate from time to time. We will name any agent involved in the offering and sale of securities and we will describe any commissions we or selling securityholders will pay the agent in the prospectus supplement. Unless the prospectus supplement states otherwise, our agent will act on a best-efforts basis for the period of its appointment.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authorize agents, dealers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may engage in transactions with, or perform services for, us in the ordinary course of business.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our CDIs that trade on the ASX,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Any underwriter may be granted an option to purchase additional shares, and engage in stabilizing transactions, short-covering transactions and penalty bids in accordance with Regulation M under the Exchange Act and subject to any applicable requirements of the Australian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 underwriter’s option to purchase additional shares involves sales in excess of the offering size, which create a short position. Stabilizing transactions permit bids to purchase the underlying security so long as the stabilizing bids are the lower of the National Best Bid and the lowest price payable by institutions under the offer.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applicable stock exchange may engage in passive market making transactions in the common stock on such stock exchange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Life360, Inc. as of December 31, 2023, and for the year in the period ended December 31, 2023, incorporated by reference in this Prospectus, and the effectiveness of Life360,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the years then ended incorporated by reference in this prospectus have been so incorporated in reliance on the report of BDO USA, LLP (n/k/a BDO USA, P.C.), an independent registered public accounting firm, incorporated herein by reference, given on the authority of said firm as experts in auditing and accounting.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can read our SEC filings, including the registration statement, over the internet at the SEC’s website at www.sec.gov. The ASX maintains a website that contains documents required under Australian securities laws and other information regarding our filings at www.asx.com.au.</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inspection and copying at the website of the SEC referred to above. We also maintain a website at www.life360.com,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000-56424):</w:t>
      </w:r>
    </w:p>
    <w:p>
      <w:pPr>
        <w:spacing w:after="0" w:line="133"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77">
        <w:r>
          <w:rPr>
            <w:rFonts w:ascii="Times New Roman" w:cs="Times New Roman" w:eastAsia="Times New Roman" w:hAnsi="Times New Roman"/>
            <w:sz w:val="18"/>
            <w:szCs w:val="18"/>
            <w:u w:val="single" w:color="auto"/>
            <w:color w:val="0000FF"/>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“2023 Form 10-K”);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2023 Form 10-K from our definitive proxy statement relating to our 2024 annual meeting of stockholders, filed with the SEC on </w:t>
      </w:r>
      <w:hyperlink r:id="rId40">
        <w:r>
          <w:rPr>
            <w:rFonts w:ascii="Times New Roman" w:cs="Times New Roman" w:eastAsia="Times New Roman" w:hAnsi="Times New Roman"/>
            <w:sz w:val="18"/>
            <w:szCs w:val="18"/>
            <w:u w:val="single" w:color="auto"/>
            <w:color w:val="0000FF"/>
          </w:rPr>
          <w:t>April 16, 2024</w:t>
        </w:r>
      </w:hyperlink>
      <w:r>
        <w:rPr>
          <w:rFonts w:ascii="Times New Roman" w:cs="Times New Roman" w:eastAsia="Times New Roman" w:hAnsi="Times New Roman"/>
          <w:sz w:val="18"/>
          <w:szCs w:val="18"/>
          <w:color w:val="auto"/>
        </w:rPr>
        <w:t>;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Item 11 to our Amendment No. 2 to Registration Statement on Form 10, filed with the Commission on </w:t>
      </w:r>
      <w:hyperlink r:id="rId78">
        <w:r>
          <w:rPr>
            <w:rFonts w:ascii="Times New Roman" w:cs="Times New Roman" w:eastAsia="Times New Roman" w:hAnsi="Times New Roman"/>
            <w:sz w:val="18"/>
            <w:szCs w:val="18"/>
            <w:u w:val="single" w:color="auto"/>
            <w:color w:val="0000FF"/>
          </w:rPr>
          <w:t>July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pursuant to Section 12(g) of the Exchange Act, including any amendment or report filed for the purpose of updating such description, including </w:t>
      </w:r>
      <w:hyperlink r:id="rId79">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2023 Form 10-K.</w:t>
      </w:r>
    </w:p>
    <w:p>
      <w:pPr>
        <w:spacing w:after="0" w:line="122" w:lineRule="exact"/>
        <w:rPr>
          <w:rFonts w:ascii="Times New Roman" w:cs="Times New Roman" w:eastAsia="Times New Roman" w:hAnsi="Times New Roman"/>
          <w:sz w:val="18"/>
          <w:szCs w:val="18"/>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3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1900 South Norfolk Street, Suite 310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Secretary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5,750,000 Shares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1082040</wp:posOffset>
            </wp:positionV>
            <wp:extent cx="1517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1245235</wp:posOffset>
            </wp:positionV>
            <wp:extent cx="2219960" cy="668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219960" cy="668655"/>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2085340</wp:posOffset>
            </wp:positionV>
            <wp:extent cx="1517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8"/>
          <w:szCs w:val="28"/>
          <w:b w:val="1"/>
          <w:bCs w:val="1"/>
          <w:color w:val="auto"/>
        </w:rPr>
        <w:t>Evercore ISI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UBS Investment Bank</w:t>
      </w:r>
    </w:p>
    <w:p>
      <w:pPr>
        <w:spacing w:after="0" w:line="200" w:lineRule="exact"/>
        <w:rPr>
          <w:sz w:val="20"/>
          <w:szCs w:val="20"/>
          <w:color w:val="auto"/>
        </w:rPr>
      </w:pPr>
    </w:p>
    <w:p>
      <w:pPr>
        <w:sectPr>
          <w:pgSz w:w="11900" w:h="16838" w:orient="portrait"/>
          <w:cols w:equalWidth="0" w:num="3">
            <w:col w:w="4520" w:space="720"/>
            <w:col w:w="2500" w:space="720"/>
            <w:col w:w="2740"/>
          </w:cols>
          <w:pgMar w:left="340" w:top="1440" w:right="35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Stifel</w:t>
      </w:r>
    </w:p>
    <w:p>
      <w:pPr>
        <w:sectPr>
          <w:pgSz w:w="11900" w:h="16838" w:orient="portrait"/>
          <w:cols w:equalWidth="0" w:num="1">
            <w:col w:w="11200"/>
          </w:cols>
          <w:pgMar w:left="340" w:top="1440" w:right="359"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Canaccord Genuity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21"/>
          <w:szCs w:val="21"/>
          <w:b w:val="1"/>
          <w:bCs w:val="1"/>
          <w:color w:val="auto"/>
        </w:rPr>
        <w:t>Citizens JMP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389255</wp:posOffset>
            </wp:positionV>
            <wp:extent cx="1517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Loop Capital Markets</w:t>
      </w:r>
    </w:p>
    <w:p>
      <w:pPr>
        <w:spacing w:after="0" w:line="200" w:lineRule="exact"/>
        <w:rPr>
          <w:sz w:val="20"/>
          <w:szCs w:val="20"/>
          <w:color w:val="auto"/>
        </w:rPr>
      </w:pPr>
    </w:p>
    <w:p>
      <w:pPr>
        <w:sectPr>
          <w:pgSz w:w="11900" w:h="16838" w:orient="portrait"/>
          <w:cols w:equalWidth="0" w:num="3">
            <w:col w:w="4080" w:space="720"/>
            <w:col w:w="3600" w:space="720"/>
            <w:col w:w="208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547370</wp:posOffset>
            </wp:positionV>
            <wp:extent cx="1517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762000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787400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19" w:name="page120"/>
    <w:bookmarkEnd w:id="119"/>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424(b)(5)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 Newly Registered and Carry Forward Securities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480" w:type="dxa"/>
            <w:vAlign w:val="bottom"/>
            <w:tcBorders>
              <w:top w:val="single" w:sz="8" w:color="auto"/>
              <w:left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Security Type</w:t>
            </w:r>
          </w:p>
        </w:tc>
        <w:tc>
          <w:tcPr>
            <w:tcW w:w="118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 Class Title</w:t>
            </w:r>
          </w:p>
        </w:tc>
        <w:tc>
          <w:tcPr>
            <w:tcW w:w="120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Fee Calculation or</w:t>
            </w:r>
          </w:p>
        </w:tc>
        <w:tc>
          <w:tcPr>
            <w:tcW w:w="118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Registered</w:t>
            </w:r>
          </w:p>
        </w:tc>
        <w:tc>
          <w:tcPr>
            <w:tcW w:w="118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Proposed Maximum</w:t>
            </w:r>
          </w:p>
        </w:tc>
        <w:tc>
          <w:tcPr>
            <w:tcW w:w="172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Maximum Aggregate Offering</w:t>
            </w:r>
          </w:p>
        </w:tc>
        <w:tc>
          <w:tcPr>
            <w:tcW w:w="120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Fee Rate</w:t>
            </w:r>
          </w:p>
        </w:tc>
        <w:tc>
          <w:tcPr>
            <w:tcW w:w="118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28"/>
        </w:trPr>
        <w:tc>
          <w:tcPr>
            <w:tcW w:w="148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Carry Forward Rule</w:t>
            </w:r>
          </w:p>
        </w:tc>
        <w:tc>
          <w:tcPr>
            <w:tcW w:w="11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Offering Price Per</w:t>
            </w:r>
          </w:p>
        </w:tc>
        <w:tc>
          <w:tcPr>
            <w:tcW w:w="17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20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1"/>
                <w:szCs w:val="11"/>
                <w:b w:val="1"/>
                <w:bCs w:val="1"/>
                <w:color w:val="auto"/>
              </w:rPr>
              <w:t>Registration Fee</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7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Fees to be Paid</w:t>
            </w:r>
          </w:p>
        </w:tc>
        <w:tc>
          <w:tcPr>
            <w:tcW w:w="9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Common</w:t>
            </w:r>
          </w:p>
        </w:tc>
        <w:tc>
          <w:tcPr>
            <w:tcW w:w="12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stock, $0.001</w:t>
            </w: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9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par value per</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180" w:type="dxa"/>
            <w:vAlign w:val="bottom"/>
            <w:tcBorders>
              <w:right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8"/>
                <w:szCs w:val="18"/>
                <w:color w:val="auto"/>
              </w:rPr>
              <w:t>6,612,500</w:t>
            </w:r>
            <w:r>
              <w:rPr>
                <w:rFonts w:ascii="Times New Roman" w:cs="Times New Roman" w:eastAsia="Times New Roman" w:hAnsi="Times New Roman"/>
                <w:sz w:val="23"/>
                <w:szCs w:val="23"/>
                <w:color w:val="auto"/>
                <w:vertAlign w:val="superscript"/>
              </w:rPr>
              <w:t>(1)</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$27.00</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$178,537,500</w:t>
            </w:r>
          </w:p>
        </w:tc>
        <w:tc>
          <w:tcPr>
            <w:tcW w:w="1200" w:type="dxa"/>
            <w:vAlign w:val="bottom"/>
            <w:tcBorders>
              <w:right w:val="single" w:sz="8" w:color="auto"/>
            </w:tcBorders>
            <w:vMerge w:val="restart"/>
          </w:tcPr>
          <w:p>
            <w:pPr>
              <w:jc w:val="right"/>
              <w:ind w:right="164"/>
              <w:spacing w:after="0"/>
              <w:rPr>
                <w:sz w:val="20"/>
                <w:szCs w:val="20"/>
                <w:color w:val="auto"/>
              </w:rPr>
            </w:pPr>
            <w:r>
              <w:rPr>
                <w:rFonts w:ascii="Times New Roman" w:cs="Times New Roman" w:eastAsia="Times New Roman" w:hAnsi="Times New Roman"/>
                <w:sz w:val="18"/>
                <w:szCs w:val="18"/>
                <w:color w:val="auto"/>
              </w:rPr>
              <w:t>0.0001476</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$26,352.14</w:t>
            </w:r>
          </w:p>
        </w:tc>
        <w:tc>
          <w:tcPr>
            <w:tcW w:w="0" w:type="dxa"/>
            <w:vAlign w:val="bottom"/>
          </w:tcPr>
          <w:p>
            <w:pPr>
              <w:spacing w:after="0"/>
              <w:rPr>
                <w:sz w:val="1"/>
                <w:szCs w:val="1"/>
                <w:color w:val="auto"/>
              </w:rPr>
            </w:pPr>
          </w:p>
        </w:tc>
      </w:tr>
      <w:tr>
        <w:trPr>
          <w:trHeight w:val="22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172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Carry Forward</w:t>
            </w:r>
          </w:p>
        </w:tc>
        <w:tc>
          <w:tcPr>
            <w:tcW w:w="940" w:type="dxa"/>
            <w:vAlign w:val="bottom"/>
            <w:tcBorders>
              <w:right w:val="single" w:sz="8" w:color="auto"/>
            </w:tcBorders>
          </w:tcPr>
          <w:p>
            <w:pPr>
              <w:ind w:left="4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auto"/>
            </w:tcBorders>
          </w:tcPr>
          <w:p>
            <w:pPr>
              <w:jc w:val="right"/>
              <w:ind w:right="504"/>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$178,537,500</w:t>
            </w: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$26,352.14</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Total Fees Previously Paid</w:t>
            </w: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$26,352.14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340" w:right="280" w:hanging="332"/>
        <w:spacing w:after="0" w:line="250" w:lineRule="auto"/>
        <w:tabs>
          <w:tab w:leader="none" w:pos="33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862,500 additional shares of common stock that the underwriters have the option to purchase from the selling securityholders named in the prospectus supplement to which this exhibit is attached.</w:t>
      </w:r>
    </w:p>
    <w:p>
      <w:pPr>
        <w:jc w:val="both"/>
        <w:ind w:left="340" w:right="140" w:hanging="332"/>
        <w:spacing w:after="0" w:line="253" w:lineRule="auto"/>
        <w:tabs>
          <w:tab w:leader="none" w:pos="33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registration fee at the time of filing of the registrant’s Registration Statement on Form S-3ASR (File No. 333-279271) on May 9, 2024 (the “Registration Statement”) was deferred pursuant to Rules 456(b) and 457(r) under the Securities Act of 1933, as amended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paid herewith. This “Calculation of Filing Fee” table shall be deemed to update the table attached as Exhibit 107 in accordance with Item 16 of the Registration Statement.</w:t>
      </w:r>
    </w:p>
    <w:sectPr>
      <w:pgSz w:w="11900" w:h="16838" w:orient="portrait"/>
      <w:cols w:equalWidth="0" w:num="1">
        <w:col w:w="11260"/>
      </w:cols>
      <w:pgMar w:left="32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lvl w:ilvl="1">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lowerRoman"/>
      <w:start w:val="3"/>
    </w:lvl>
  </w:abstractNum>
  <w:abstractNum w:abstractNumId="4">
    <w:nsid w:val="70C6A529"/>
    <w:multiLevelType w:val="hybridMultilevel"/>
    <w:lvl w:ilvl="0">
      <w:lvlJc w:val="left"/>
      <w:lvlText w:val="•"/>
      <w:numFmt w:val="bullet"/>
      <w:start w:val="1"/>
    </w:lvl>
    <w:lvl w:ilvl="1">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1)"/>
      <w:numFmt w:val="decimal"/>
      <w:start w:val="1"/>
    </w:lvl>
    <w:lvl w:ilvl="1">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1"/>
    </w:lvl>
    <w:lvl w:ilvl="1">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415"/>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9"/>
    </w:lvl>
  </w:abstractNum>
  <w:abstractNum w:abstractNumId="34">
    <w:nsid w:val="5DB70AE5"/>
    <w:multiLevelType w:val="hybridMultilevel"/>
    <w:lvl w:ilvl="0">
      <w:lvlJc w:val="left"/>
      <w:lvlText w:val="(%1)"/>
      <w:numFmt w:val="decimal"/>
      <w:start w:val="10"/>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lowerRoman"/>
      <w:start w:val="1"/>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415"/>
    </w:lvl>
  </w:abstractNum>
  <w:abstractNum w:abstractNumId="47">
    <w:nsid w:val="540A471C"/>
    <w:multiLevelType w:val="hybridMultilevel"/>
    <w:lvl w:ilvl="0">
      <w:lvlJc w:val="left"/>
      <w:lvlText w:val="•"/>
      <w:numFmt w:val="bullet"/>
      <w:start w:val="1"/>
    </w:lvl>
    <w:lvl w:ilvl="1">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lvl w:ilvl="1">
      <w:lvlJc w:val="left"/>
      <w:lvlText w:val="◦"/>
      <w:numFmt w:val="bullet"/>
      <w:start w:val="1"/>
    </w:lvl>
  </w:abstractNum>
  <w:abstractNum w:abstractNumId="50">
    <w:nsid w:val="613EFDC5"/>
    <w:multiLevelType w:val="hybridMultilevel"/>
    <w:lvl w:ilvl="0">
      <w:lvlJc w:val="left"/>
      <w:lvlText w:val="2"/>
      <w:numFmt w:val="bullet"/>
      <w:start w:val="1"/>
    </w:lvl>
  </w:abstractNum>
  <w:abstractNum w:abstractNumId="51">
    <w:nsid w:val="BF72B14"/>
    <w:multiLevelType w:val="hybridMultilevel"/>
    <w:lvl w:ilvl="0">
      <w:lvlJc w:val="left"/>
      <w:lvlText w:val="(%1)"/>
      <w:numFmt w:val="lowerRoman"/>
      <w:start w:val="3"/>
    </w:lvl>
  </w:abstractNum>
  <w:abstractNum w:abstractNumId="52">
    <w:nsid w:val="11447B73"/>
    <w:multiLevelType w:val="hybridMultilevel"/>
    <w:lvl w:ilvl="0">
      <w:lvlJc w:val="left"/>
      <w:lvlText w:val="•"/>
      <w:numFmt w:val="bullet"/>
      <w:start w:val="1"/>
    </w:lvl>
    <w:lvl w:ilvl="1">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lvl w:ilvl="1">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decimal"/>
      <w:start w:val="1"/>
    </w:lvl>
    <w:lvl w:ilvl="1">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415"/>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decimal"/>
      <w:start w:val="415"/>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1" Type="http://schemas.openxmlformats.org/officeDocument/2006/relationships/image" Target="media/image29.jpe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jpe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36" Type="http://schemas.openxmlformats.org/officeDocument/2006/relationships/hyperlink" Target="https://www.sec.gov/ix?doc=/Archives/edgar/data/0001581760/000158176024000006/lifx-20231231.htm" TargetMode="External"/><Relationship Id="rId37" Type="http://schemas.openxmlformats.org/officeDocument/2006/relationships/hyperlink" Target="https://www.sec.gov/ix?doc=/Archives/edgar/data/0001581760/000158176024000031/lifx-20240331.htm" TargetMode="External"/><Relationship Id="rId38" Type="http://schemas.openxmlformats.org/officeDocument/2006/relationships/hyperlink" Target="https://www.sec.gov/ix?doc=/Archives/edgar/data/0001581760/000119312524152060/d844406d8k.htm" TargetMode="External"/><Relationship Id="rId39" Type="http://schemas.openxmlformats.org/officeDocument/2006/relationships/hyperlink" Target="https://www.sec.gov/Archives/edgar/data/1581760/000119312524153118/d824542d8a12b.htm" TargetMode="External"/><Relationship Id="rId40" Type="http://schemas.openxmlformats.org/officeDocument/2006/relationships/hyperlink" Target="https://www.sec.gov/ix?doc=/Archives/edgar/data/0001581760/000119312524097815/d587685ddef14a.htm" TargetMode="External"/><Relationship Id="rId77" Type="http://schemas.openxmlformats.org/officeDocument/2006/relationships/hyperlink" Target="https://www.sec.gov/ix?doc=/Archives/edgar/data/1581760/000158176024000006/lifx-20231231.htm" TargetMode="External"/><Relationship Id="rId78" Type="http://schemas.openxmlformats.org/officeDocument/2006/relationships/hyperlink" Target="https://www.sec.gov/Archives/edgar/data/1581760/000119312522187348/d328928d1012ga.htm#rom328928_12" TargetMode="External"/><Relationship Id="rId79" Type="http://schemas.openxmlformats.org/officeDocument/2006/relationships/hyperlink" Target="https://www.sec.gov/Archives/edgar/data/1581760/000158176024000006/exhibit42descriptionofcap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2024-06-06T16:17:03Z</dcterms:created>
  <dcterms:modified xsi:type="dcterms:W3CDTF">2024-06-06T16:17:03Z</dcterms:modified>
</cp:coreProperties>
</file>