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Kapoor Samir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539 BRYANT STREET, SUITE 402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Life360,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360.AX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10/24/2022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94107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10/24/2022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2,521</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62,488</w:t>
            </w:r>
            <w:r>
              <w:rPr>
                <w:rFonts w:ascii="Times New Roman" w:cs="Times New Roman" w:eastAsia="Times New Roman" w:hAnsi="Times New Roman"/>
                <w:sz w:val="22"/>
                <w:szCs w:val="22"/>
                <w:color w:val="008000"/>
                <w:vertAlign w:val="superscript"/>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a time-based restricted stock unit award ("RSUs"). The RSUs vested in full as of September 30,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an aggregate of 51,313 RSUs,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reported amount also reflects a forced sale of 4 common shares underlying 13 Chess Depositary Interests ("CDIs") executed on the Australian Securities Exchange (the "ASX") by the Reporting Person's broker on September 26, 2022 to cover an accounting requirement. The CDIs are traded on the ASX and are held by CHESS Depositary Nominees Pty, Limited, a subsidiary of ASX Limited, the company that operates the ASX.</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10/26/2022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55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2022-10-26T19:46:16Z</dcterms:created>
  <dcterms:modified xsi:type="dcterms:W3CDTF">2022-10-26T19:46:16Z</dcterms:modified>
</cp:coreProperties>
</file>