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17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Burke Russell John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LIF</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2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06/20/2024</w:t>
            </w:r>
          </w:p>
        </w:tc>
        <w:tc>
          <w:tcPr>
            <w:tcW w:w="2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06/20/2024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6,213</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31.25</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135,108</w:t>
            </w:r>
            <w:r>
              <w:rPr>
                <w:rFonts w:ascii="Times New Roman" w:cs="Times New Roman" w:eastAsia="Times New Roman" w:hAnsi="Times New Roman"/>
                <w:sz w:val="22"/>
                <w:szCs w:val="22"/>
                <w:color w:val="008000"/>
                <w:vertAlign w:val="superscript"/>
              </w:rPr>
              <w:t>(2)(3)</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40" w:right="4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common stock and the number of common stock underlying Chess Depositary Interests ("CDIs") as converted on a 1:3 common stock to CDI ratio. The CDIs are traded on the Australian Securities Exchange (the "ASX") and are held by CHESS Depositary Nominees Pty, Limited, a subsidiary of ASX Limited, the company that operates the ASX.</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122,047 restricted stock units previously granted, each of which represents a contingent right to receive one share of the Issuer's common stock upon vesting.</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Jay Sood, Attorney-in-Fact  06/24/2024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933232"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2024-06-24T14:54:53Z</dcterms:created>
  <dcterms:modified xsi:type="dcterms:W3CDTF">2024-06-24T14:54:53Z</dcterms:modified>
</cp:coreProperties>
</file>