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8470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8470265"/>
                    </a:xfrm>
                    <a:prstGeom prst="rect">
                      <a:avLst/>
                    </a:prstGeom>
                    <a:noFill/>
                  </pic:spPr>
                </pic:pic>
              </a:graphicData>
            </a:graphic>
          </wp:anchor>
        </w:drawing>
      </w:r>
    </w:p>
    <w:p>
      <w:pPr>
        <w:spacing w:after="0" w:line="1222" w:lineRule="exact"/>
        <w:rPr>
          <w:sz w:val="24"/>
          <w:szCs w:val="24"/>
          <w:color w:val="auto"/>
        </w:rPr>
      </w:pPr>
    </w:p>
    <w:p>
      <w:pPr>
        <w:sectPr>
          <w:pgSz w:w="11900" w:h="16840" w:orient="portrait"/>
          <w:cols w:equalWidth="0" w:num="2">
            <w:col w:w="2320" w:space="160"/>
            <w:col w:w="8520"/>
          </w:cols>
          <w:pgMar w:left="460" w:top="219" w:right="4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20" w:type="dxa"/>
            <w:vAlign w:val="bottom"/>
            <w:gridSpan w:val="5"/>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Borders>
              <w:bottom w:val="single" w:sz="8" w:color="0000EE"/>
            </w:tcBorders>
          </w:tcPr>
          <w:p>
            <w:pPr>
              <w:spacing w:after="0"/>
              <w:rPr>
                <w:sz w:val="6"/>
                <w:szCs w:val="6"/>
                <w:color w:val="auto"/>
              </w:rPr>
            </w:pPr>
          </w:p>
        </w:tc>
        <w:tc>
          <w:tcPr>
            <w:tcW w:w="840" w:type="dxa"/>
            <w:vAlign w:val="bottom"/>
            <w:tcBorders>
              <w:bottom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gridSpan w:val="4"/>
            <w:vMerge w:val="restart"/>
          </w:tcPr>
          <w:p>
            <w:pPr>
              <w:spacing w:after="0"/>
              <w:rPr>
                <w:sz w:val="20"/>
                <w:szCs w:val="20"/>
                <w:color w:val="auto"/>
              </w:rPr>
            </w:pPr>
            <w:r>
              <w:rPr>
                <w:rFonts w:ascii="Arial" w:cs="Arial" w:eastAsia="Arial" w:hAnsi="Arial"/>
                <w:sz w:val="13"/>
                <w:szCs w:val="13"/>
                <w:color w:val="auto"/>
              </w:rPr>
              <w:t>Foreign Trading Symbol</w:t>
            </w: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48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0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480" w:type="dxa"/>
            <w:vAlign w:val="bottom"/>
          </w:tcPr>
          <w:p>
            <w:pPr>
              <w:spacing w:after="0"/>
              <w:rPr>
                <w:sz w:val="3"/>
                <w:szCs w:val="3"/>
                <w:color w:val="auto"/>
              </w:rPr>
            </w:pP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60" w:type="dxa"/>
            <w:vAlign w:val="bottom"/>
            <w:vMerge w:val="restart"/>
          </w:tcPr>
          <w:p>
            <w:pPr>
              <w:ind w:left="54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6"/>
            <w:vMerge w:val="continue"/>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4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11/02/2026</w:t>
            </w: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4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6"/>
                <w:szCs w:val="6"/>
                <w:color w:val="auto"/>
              </w:rPr>
            </w:pPr>
          </w:p>
        </w:tc>
        <w:tc>
          <w:tcPr>
            <w:tcW w:w="3320" w:type="dxa"/>
            <w:vAlign w:val="bottom"/>
            <w:gridSpan w:val="5"/>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7"/>
            <w:vMerge w:val="continue"/>
          </w:tcPr>
          <w:p>
            <w:pPr>
              <w:spacing w:after="0"/>
              <w:rPr>
                <w:sz w:val="9"/>
                <w:szCs w:val="9"/>
                <w:color w:val="auto"/>
              </w:rPr>
            </w:pPr>
          </w:p>
        </w:tc>
        <w:tc>
          <w:tcPr>
            <w:tcW w:w="300" w:type="dxa"/>
            <w:vAlign w:val="bottom"/>
          </w:tcPr>
          <w:p>
            <w:pPr>
              <w:spacing w:after="0"/>
              <w:rPr>
                <w:sz w:val="9"/>
                <w:szCs w:val="9"/>
                <w:color w:val="auto"/>
              </w:rPr>
            </w:pPr>
          </w:p>
        </w:tc>
        <w:tc>
          <w:tcPr>
            <w:tcW w:w="33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80" w:type="dxa"/>
            <w:vAlign w:val="bottom"/>
            <w:tcBorders>
              <w:bottom w:val="single" w:sz="8" w:color="9A9A9A"/>
            </w:tcBorders>
          </w:tcPr>
          <w:p>
            <w:pPr>
              <w:spacing w:after="0"/>
              <w:rPr>
                <w:sz w:val="3"/>
                <w:szCs w:val="3"/>
                <w:color w:val="auto"/>
              </w:rPr>
            </w:pPr>
          </w:p>
        </w:tc>
        <w:tc>
          <w:tcPr>
            <w:tcW w:w="128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vMerge w:val="restart"/>
          </w:tcPr>
          <w:p>
            <w:pPr>
              <w:spacing w:after="0"/>
              <w:rPr>
                <w:sz w:val="3"/>
                <w:szCs w:val="3"/>
                <w:color w:val="auto"/>
              </w:rPr>
            </w:pPr>
          </w:p>
        </w:tc>
        <w:tc>
          <w:tcPr>
            <w:tcW w:w="480" w:type="dxa"/>
            <w:vAlign w:val="bottom"/>
            <w:vMerge w:val="restart"/>
          </w:tcPr>
          <w:p>
            <w:pPr>
              <w:ind w:left="8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84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4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94403</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40" w:type="dxa"/>
            <w:vAlign w:val="bottom"/>
            <w:gridSpan w:val="4"/>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tcPr>
          <w:p>
            <w:pPr>
              <w:ind w:left="120"/>
              <w:spacing w:after="0" w:line="113" w:lineRule="exact"/>
              <w:rPr>
                <w:sz w:val="20"/>
                <w:szCs w:val="20"/>
                <w:color w:val="auto"/>
              </w:rPr>
            </w:pPr>
            <w:r>
              <w:rPr>
                <w:rFonts w:ascii="Arial" w:cs="Arial" w:eastAsia="Arial" w:hAnsi="Arial"/>
                <w:sz w:val="13"/>
                <w:szCs w:val="13"/>
                <w:color w:val="auto"/>
              </w:rPr>
              <w:t>Person</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480" w:type="dxa"/>
            <w:vAlign w:val="bottom"/>
          </w:tcPr>
          <w:p>
            <w:pPr>
              <w:spacing w:after="0"/>
              <w:rPr>
                <w:sz w:val="24"/>
                <w:szCs w:val="24"/>
                <w:color w:val="auto"/>
              </w:rPr>
            </w:pP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3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360" w:type="dxa"/>
            <w:vAlign w:val="bottom"/>
            <w:tcBorders>
              <w:bottom w:val="single" w:sz="8" w:color="2C2C2C"/>
            </w:tcBorders>
            <w:gridSpan w:val="5"/>
          </w:tcPr>
          <w:p>
            <w:pPr>
              <w:spacing w:after="0"/>
              <w:rPr>
                <w:sz w:val="10"/>
                <w:szCs w:val="10"/>
                <w:color w:val="auto"/>
              </w:rPr>
            </w:pPr>
          </w:p>
        </w:tc>
        <w:tc>
          <w:tcPr>
            <w:tcW w:w="1620" w:type="dxa"/>
            <w:vAlign w:val="bottom"/>
            <w:tcBorders>
              <w:bottom w:val="single" w:sz="8" w:color="2C2C2C"/>
            </w:tcBorders>
            <w:gridSpan w:val="2"/>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80" w:type="dxa"/>
            <w:vAlign w:val="bottom"/>
            <w:tcBorders>
              <w:top w:val="single" w:sz="8" w:color="2C2C2C"/>
            </w:tcBorders>
            <w:gridSpan w:val="14"/>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5"/>
                <w:szCs w:val="15"/>
                <w:color w:val="auto"/>
              </w:rPr>
            </w:pPr>
          </w:p>
        </w:tc>
        <w:tc>
          <w:tcPr>
            <w:tcW w:w="170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4"/>
          </w:tcPr>
          <w:p>
            <w:pPr>
              <w:jc w:val="center"/>
              <w:ind w:left="49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180" w:type="dxa"/>
            <w:vAlign w:val="bottom"/>
            <w:gridSpan w:val="5"/>
          </w:tcPr>
          <w:p>
            <w:pPr>
              <w:jc w:val="center"/>
              <w:ind w:left="953"/>
              <w:spacing w:after="0"/>
              <w:rPr>
                <w:sz w:val="20"/>
                <w:szCs w:val="20"/>
                <w:color w:val="auto"/>
              </w:rPr>
            </w:pPr>
            <w:r>
              <w:rPr>
                <w:rFonts w:ascii="Times New Roman" w:cs="Times New Roman" w:eastAsia="Times New Roman" w:hAnsi="Times New Roman"/>
                <w:sz w:val="17"/>
                <w:szCs w:val="17"/>
                <w:color w:val="0000FF"/>
              </w:rPr>
              <w:t>11/02/2026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1,841</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45.29</w:t>
            </w:r>
            <w:r>
              <w:rPr>
                <w:rFonts w:ascii="Times New Roman" w:cs="Times New Roman" w:eastAsia="Times New Roman" w:hAnsi="Times New Roman"/>
                <w:sz w:val="22"/>
                <w:szCs w:val="22"/>
                <w:color w:val="008000"/>
                <w:w w:val="95"/>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10,590</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180" w:type="dxa"/>
            <w:vAlign w:val="bottom"/>
            <w:gridSpan w:val="5"/>
          </w:tcPr>
          <w:p>
            <w:pPr>
              <w:jc w:val="center"/>
              <w:ind w:left="953"/>
              <w:spacing w:after="0"/>
              <w:rPr>
                <w:sz w:val="20"/>
                <w:szCs w:val="20"/>
                <w:color w:val="auto"/>
              </w:rPr>
            </w:pPr>
            <w:r>
              <w:rPr>
                <w:rFonts w:ascii="Times New Roman" w:cs="Times New Roman" w:eastAsia="Times New Roman" w:hAnsi="Times New Roman"/>
                <w:sz w:val="17"/>
                <w:szCs w:val="17"/>
                <w:color w:val="0000FF"/>
              </w:rPr>
              <w:t>11/02/2026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1,433</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46</w:t>
            </w:r>
            <w:r>
              <w:rPr>
                <w:rFonts w:ascii="Times New Roman" w:cs="Times New Roman" w:eastAsia="Times New Roman" w:hAnsi="Times New Roman"/>
                <w:sz w:val="22"/>
                <w:szCs w:val="22"/>
                <w:color w:val="008000"/>
                <w:w w:val="91"/>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9,157</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180" w:type="dxa"/>
            <w:vAlign w:val="bottom"/>
            <w:gridSpan w:val="5"/>
          </w:tcPr>
          <w:p>
            <w:pPr>
              <w:jc w:val="center"/>
              <w:ind w:left="953"/>
              <w:spacing w:after="0"/>
              <w:rPr>
                <w:sz w:val="20"/>
                <w:szCs w:val="20"/>
                <w:color w:val="auto"/>
              </w:rPr>
            </w:pPr>
            <w:r>
              <w:rPr>
                <w:rFonts w:ascii="Times New Roman" w:cs="Times New Roman" w:eastAsia="Times New Roman" w:hAnsi="Times New Roman"/>
                <w:sz w:val="17"/>
                <w:szCs w:val="17"/>
                <w:color w:val="0000FF"/>
              </w:rPr>
              <w:t>11/02/2026</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8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726</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gridSpan w:val="2"/>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46.69</w:t>
            </w:r>
            <w:r>
              <w:rPr>
                <w:rFonts w:ascii="Times New Roman" w:cs="Times New Roman" w:eastAsia="Times New Roman" w:hAnsi="Times New Roman"/>
                <w:sz w:val="22"/>
                <w:szCs w:val="22"/>
                <w:color w:val="008000"/>
                <w:w w:val="95"/>
                <w:vertAlign w:val="superscript"/>
              </w:rPr>
              <w:t>(4)</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8,431</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5,676</w:t>
            </w:r>
            <w:r>
              <w:rPr>
                <w:rFonts w:ascii="Times New Roman" w:cs="Times New Roman" w:eastAsia="Times New Roman" w:hAnsi="Times New Roman"/>
                <w:sz w:val="22"/>
                <w:szCs w:val="22"/>
                <w:color w:val="008000"/>
                <w:w w:val="93"/>
                <w:vertAlign w:val="superscript"/>
              </w:rPr>
              <w:t>(5)</w:t>
            </w:r>
          </w:p>
        </w:tc>
        <w:tc>
          <w:tcPr>
            <w:tcW w:w="9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55,494</w:t>
            </w: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sectPr>
          <w:pgSz w:w="11900" w:h="16840" w:orient="portrait"/>
          <w:cols w:equalWidth="0" w:num="1">
            <w:col w:w="11000"/>
          </w:cols>
          <w:pgMar w:left="460" w:top="219" w:right="439" w:bottom="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40" w:orient="portrait"/>
          <w:cols w:equalWidth="0" w:num="1">
            <w:col w:w="11000"/>
          </w:cols>
          <w:pgMar w:left="460" w:top="219" w:right="439" w:bottom="0" w:gutter="0" w:footer="0" w:header="0"/>
          <w:type w:val="continuous"/>
        </w:sectPr>
      </w:pPr>
    </w:p>
    <w:bookmarkStart w:id="1" w:name="page2"/>
    <w:bookmarkEnd w:id="1"/>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$44.52 to $45.51,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$45.54 to $46.47,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$46.54 to $46.75,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3,630 restricted stock units, each of which represents a contingent right to receive one share of the Issuer's common stock upon vesting.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11/04/2026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2026-11-04T16:20:54Z</dcterms:created>
  <dcterms:modified xsi:type="dcterms:W3CDTF">2026-11-04T16:20:54Z</dcterms:modified>
</cp:coreProperties>
</file>