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Synge James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12/16/2025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2,448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63.63</w:t>
            </w:r>
            <w:r>
              <w:rPr>
                <w:rFonts w:ascii="Times New Roman" w:cs="Times New Roman" w:eastAsia="Times New Roman" w:hAnsi="Times New Roman"/>
                <w:sz w:val="22"/>
                <w:szCs w:val="22"/>
                <w:color w:val="008000"/>
                <w:vertAlign w:val="superscript"/>
              </w:rPr>
              <w:t>(1)</w:t>
            </w:r>
          </w:p>
        </w:tc>
        <w:tc>
          <w:tcPr>
            <w:tcW w:w="380" w:type="dxa"/>
            <w:vAlign w:val="bottom"/>
          </w:tcPr>
          <w:p>
            <w:pPr>
              <w:spacing w:after="0"/>
              <w:rPr>
                <w:sz w:val="18"/>
                <w:szCs w:val="18"/>
                <w:color w:val="auto"/>
              </w:rPr>
            </w:pPr>
          </w:p>
        </w:tc>
        <w:tc>
          <w:tcPr>
            <w:tcW w:w="82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w w:val="99"/>
              </w:rPr>
              <w:t>1,518</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1,518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64.49</w:t>
            </w:r>
            <w:r>
              <w:rPr>
                <w:rFonts w:ascii="Times New Roman" w:cs="Times New Roman" w:eastAsia="Times New Roman" w:hAnsi="Times New Roman"/>
                <w:sz w:val="22"/>
                <w:szCs w:val="22"/>
                <w:color w:val="008000"/>
                <w:vertAlign w:val="superscript"/>
              </w:rPr>
              <w:t>(3)</w:t>
            </w:r>
          </w:p>
        </w:tc>
        <w:tc>
          <w:tcPr>
            <w:tcW w:w="380" w:type="dxa"/>
            <w:vAlign w:val="bottom"/>
          </w:tcPr>
          <w:p>
            <w:pPr>
              <w:spacing w:after="0"/>
              <w:rPr>
                <w:sz w:val="18"/>
                <w:szCs w:val="18"/>
                <w:color w:val="auto"/>
              </w:rPr>
            </w:pPr>
          </w:p>
        </w:tc>
        <w:tc>
          <w:tcPr>
            <w:tcW w:w="820" w:type="dxa"/>
            <w:vAlign w:val="bottom"/>
            <w:vMerge w:val="restart"/>
          </w:tcPr>
          <w:p>
            <w:pPr>
              <w:jc w:val="center"/>
              <w:ind w:right="375"/>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400" w:type="dxa"/>
            <w:vAlign w:val="bottom"/>
            <w:tcBorders>
              <w:top w:val="single" w:sz="8" w:color="2C2C2C"/>
              <w:bottom w:val="single" w:sz="8" w:color="2C2C2C"/>
            </w:tcBorders>
            <w:gridSpan w:val="3"/>
          </w:tcPr>
          <w:p>
            <w:pPr>
              <w:jc w:val="center"/>
              <w:ind w:left="75"/>
              <w:spacing w:after="0"/>
              <w:rPr>
                <w:sz w:val="20"/>
                <w:szCs w:val="20"/>
                <w:color w:val="auto"/>
              </w:rPr>
            </w:pPr>
            <w:r>
              <w:rPr>
                <w:rFonts w:ascii="Times New Roman" w:cs="Times New Roman" w:eastAsia="Times New Roman" w:hAnsi="Times New Roman"/>
                <w:sz w:val="17"/>
                <w:szCs w:val="17"/>
                <w:color w:val="0000FF"/>
                <w:w w:val="91"/>
              </w:rPr>
              <w:t>194,754</w:t>
            </w:r>
            <w:r>
              <w:rPr>
                <w:rFonts w:ascii="Times New Roman" w:cs="Times New Roman" w:eastAsia="Times New Roman" w:hAnsi="Times New Roman"/>
                <w:sz w:val="22"/>
                <w:szCs w:val="22"/>
                <w:color w:val="008000"/>
                <w:w w:val="91"/>
                <w:vertAlign w:val="superscript"/>
              </w:rPr>
              <w:t>(4)(5)</w:t>
            </w:r>
          </w:p>
        </w:tc>
        <w:tc>
          <w:tcPr>
            <w:tcW w:w="920" w:type="dxa"/>
            <w:vAlign w:val="bottom"/>
            <w:tcBorders>
              <w:top w:val="single" w:sz="8" w:color="2C2C2C"/>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$63.36 to $64.33,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held an aggregate of 8,219 shares of the Issuer's common stock prior to the sales reported herein. The number of shares held as reported herein represents Carthona Capital's proportionate ownership interest in ICCA Labs, LLC.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$64.36 to $64.57,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1,405 restricted stock units previously granted, each of which represents a contingent right to receive one share of the Issuer's common stock upon vesting.</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12/18/2025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61"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2025-12-18T19:37:05Z</dcterms:created>
  <dcterms:modified xsi:type="dcterms:W3CDTF">2025-12-18T19:37:05Z</dcterms:modified>
</cp:coreProperties>
</file>