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Hulls Chris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4"/>
                <w:szCs w:val="4"/>
                <w:color w:val="auto"/>
              </w:rPr>
            </w:pPr>
          </w:p>
        </w:tc>
        <w:tc>
          <w:tcPr>
            <w:tcW w:w="3440" w:type="dxa"/>
            <w:vAlign w:val="bottom"/>
            <w:tcBorders>
              <w:top w:val="single" w:sz="8" w:color="2C2C2C"/>
              <w:bottom w:val="single" w:sz="8" w:color="2C2C2C"/>
            </w:tcBorders>
            <w:gridSpan w:val="7"/>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3"/>
            <w:vMerge w:val="restart"/>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73"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09/08/2022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4,574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3,026,855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29,960</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1,686,552 shares of the Issuer's common stock underlying 5,059,656 Chess Depositary Interests ("CDIs"). The CDIs are traded on the Australian Securities Exchange (the "ASX") and are held by CHESS Depositary Nominees Pty, Limited, a subsidiary of ASX Limited, the company that operates the ASX. Also includes 90,377 restricted stock units, each of which represents a contingent right to receive one share of the Issuer's common stock upon vesting.</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89,880 CDIs.</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2022-09-12T16:06:36Z</dcterms:created>
  <dcterms:modified xsi:type="dcterms:W3CDTF">2022-09-12T16:06:36Z</dcterms:modified>
</cp:coreProperties>
</file>