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4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4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35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60"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1900 S Norfolk Street, Suite 310</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To Be Held on Tuesday, May 27, 2025 (U.S.) and Wednesday, May 28, 2025 (Australia)</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2025</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ind w:left="300" w:right="459"/>
        <w:spacing w:after="0" w:line="259"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(the “Annual Meeting”) of </w:t>
      </w:r>
      <w:r>
        <w:rPr>
          <w:rFonts w:ascii="Times New Roman" w:cs="Times New Roman" w:eastAsia="Times New Roman" w:hAnsi="Times New Roman"/>
          <w:sz w:val="18"/>
          <w:szCs w:val="18"/>
          <w:b w:val="1"/>
          <w:bCs w:val="1"/>
          <w:color w:val="auto"/>
        </w:rPr>
        <w:t>LIFE360,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“Company”). The meeting will be held on Tuesday, May 27, 2025, at 4:30 p.m.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Pacific Time (Wednesday, May 28, 2025, at 9:30 a.m. Australian Eastern Time) electronically via webcast at www.virtualshareholdermeeting.com/LIF2025. You will not be able to attend the meeting in person. The meeting will be held for the following purposes:</w:t>
      </w:r>
    </w:p>
    <w:p>
      <w:pPr>
        <w:spacing w:after="0" w:line="75" w:lineRule="exact"/>
        <w:rPr>
          <w:sz w:val="20"/>
          <w:szCs w:val="20"/>
          <w:color w:val="auto"/>
        </w:rPr>
      </w:pPr>
    </w:p>
    <w:p>
      <w:pPr>
        <w:ind w:left="1000" w:right="33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three Class III directors named in this Proxy Statement to serve for a term expiring at the 2028 annual meeting of stockholders.</w:t>
      </w:r>
    </w:p>
    <w:p>
      <w:pPr>
        <w:spacing w:after="0" w:line="53" w:lineRule="exact"/>
        <w:rPr>
          <w:rFonts w:ascii="Times New Roman" w:cs="Times New Roman" w:eastAsia="Times New Roman" w:hAnsi="Times New Roman"/>
          <w:sz w:val="18"/>
          <w:szCs w:val="18"/>
          <w:b w:val="1"/>
          <w:bCs w:val="1"/>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 advisory, non-binding vote to approve the compensation of the Company’s named executive officers.</w:t>
      </w:r>
    </w:p>
    <w:p>
      <w:pPr>
        <w:spacing w:after="0" w:line="53" w:lineRule="exact"/>
        <w:rPr>
          <w:rFonts w:ascii="Times New Roman" w:cs="Times New Roman" w:eastAsia="Times New Roman" w:hAnsi="Times New Roman"/>
          <w:sz w:val="18"/>
          <w:szCs w:val="18"/>
          <w:b w:val="1"/>
          <w:bCs w:val="1"/>
          <w:color w:val="auto"/>
        </w:rPr>
      </w:pPr>
    </w:p>
    <w:p>
      <w:pPr>
        <w:jc w:val="both"/>
        <w:ind w:left="1000" w:right="379" w:hanging="348"/>
        <w:spacing w:after="0" w:line="266"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appointment by the Audit Committee of the Board of Directors of Deloitte &amp; Touche LLP as the independent registered public accounting firm of the Company for its fiscal year ending December 31, 2025.</w:t>
      </w:r>
    </w:p>
    <w:p>
      <w:pPr>
        <w:spacing w:after="0" w:line="67" w:lineRule="exact"/>
        <w:rPr>
          <w:rFonts w:ascii="Times New Roman" w:cs="Times New Roman" w:eastAsia="Times New Roman" w:hAnsi="Times New Roman"/>
          <w:sz w:val="18"/>
          <w:szCs w:val="18"/>
          <w:b w:val="1"/>
          <w:bCs w:val="1"/>
          <w:color w:val="auto"/>
        </w:rPr>
      </w:pPr>
    </w:p>
    <w:p>
      <w:pPr>
        <w:ind w:left="1000" w:right="47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 or any adjournment or postponement thereof.</w:t>
      </w:r>
    </w:p>
    <w:p>
      <w:pPr>
        <w:spacing w:after="0" w:line="5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This year’s Annual Meeting will be held virtually via the internet. Holders of record of Common Stock will be able to attend the Annual Meeting, submit questions and vote during the live webcast by visiting www.virtualshareholdermeeting.com/LIF2025 and entering the 16-digit Control Number distributed with these proxy materials. Holders of CHESS Depositary Interests (“CDIs”) (representing the underlying shares of Common Stock) (such holders, “CDI Holders”) will be able to attend the Annual Meeting and submit questions by visiting the website above and logging in as a guest, but will not be able to vote during the Annual Meeting via the virtual online facility. Please refer to the additional logistical details and recommendations in the accompanying proxy statement (the “Proxy Statement”). The meeting will begin at 4:30 p.m. Pacific Time on Tuesday, May 27, 2025 (9:30 a.m. Australian Eastern Time on Wednesday, May 28, 2025). Online check-in will start approximately 15 minutes before the meeting at 4:15 p.m. Pacific Time on Tuesday, May 27, 2025 (9:15 a.m. Australian Eastern Time on Wednesday, May 28, 2025). The Board of Directors has set Friday, April 4, 2025, at 2:00 a.m. Pacific Time (Friday, April 4, 2025, at 8:00 p.m. Australian Eastern Time) as the record date (the “Record Date”) to determine those holders of record of Common Stock who are entitled to notice of, to virtually attend, and to electronically vote at, the Annual Meeting or any adjournment or postponement thereof and those CDI Holders who are entitled to notice of, and to virtually attend (but not vote at), the Annual Meeting or any adjournment or postponement thereof. If you hold your shares of Common Stock or CDIs through an account with a brokerage firm, bank, or other nominee, please follow the instructions you receive from them as to how to vote your shares of Common Stock. CHESS Depositary Nominees Pty Ltd (“CDN”) will vote the applicable CDIs on behalf of each applicable CDI Holder at the Annual Meeting in accordance with the instructions received via the CDI Voting Instruction Form. Further details regarding how holders of Common Stock and CDIs can vote are set out in this Proxy Statement.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Russell Burke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Russell Burke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Mateo, CA</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100965</wp:posOffset>
            </wp:positionV>
            <wp:extent cx="5344795" cy="844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4795" cy="844550"/>
                    </a:xfrm>
                    <a:prstGeom prst="rect">
                      <a:avLst/>
                    </a:prstGeom>
                    <a:noFill/>
                  </pic:spPr>
                </pic:pic>
              </a:graphicData>
            </a:graphic>
          </wp:anchor>
        </w:drawing>
      </w:r>
    </w:p>
    <w:p>
      <w:pPr>
        <w:spacing w:after="0" w:line="241" w:lineRule="exact"/>
        <w:rPr>
          <w:sz w:val="20"/>
          <w:szCs w:val="20"/>
          <w:color w:val="auto"/>
        </w:rPr>
      </w:pPr>
    </w:p>
    <w:p>
      <w:pPr>
        <w:ind w:left="1440" w:right="859" w:hanging="1021"/>
        <w:spacing w:after="0" w:line="263"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27, 2025</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300" w:right="499"/>
        <w:spacing w:after="0" w:line="260" w:lineRule="auto"/>
        <w:rPr>
          <w:sz w:val="20"/>
          <w:szCs w:val="20"/>
          <w:color w:val="auto"/>
        </w:rPr>
      </w:pPr>
      <w:r>
        <w:rPr>
          <w:rFonts w:ascii="Times New Roman" w:cs="Times New Roman" w:eastAsia="Times New Roman" w:hAnsi="Times New Roman"/>
          <w:sz w:val="18"/>
          <w:szCs w:val="18"/>
          <w:color w:val="auto"/>
        </w:rPr>
        <w:t>The proxy statement and the Company’s fiscal year 2024 Annual Report on Form 10-K are available online on our website at investors.life360.com, free of charge.</w:t>
      </w:r>
    </w:p>
    <w:p>
      <w:pPr>
        <w:spacing w:after="0" w:line="19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annual meeting, please complete, date, sign and return the proxy or CDI Voting Instruction Form mailed to you if one was mailed to you, or vote over the telephone or the internet as instructed in these materials, as promptly as possible in order to ensure your representation at the Annual Meeting. Even if you have voted by proxy, holders of record of Common Stock may still vote online if you attend the meeting. Please note, however, that if your shares are held of record by a broker, bank or other nominee and you wish to vote at the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113030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1900 S Norfolk Street, Suite 310</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33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Tuesday, May 27, 2025 (U.S.) and Wednesday, May 28, 2025 (Australia)</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360" w:type="dxa"/>
            <w:vAlign w:val="bottom"/>
          </w:tcPr>
          <w:p>
            <w:pPr>
              <w:spacing w:after="0"/>
              <w:rPr>
                <w:sz w:val="16"/>
                <w:szCs w:val="16"/>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r>
      <w:tr>
        <w:trPr>
          <w:trHeight w:val="23"/>
        </w:trPr>
        <w:tc>
          <w:tcPr>
            <w:tcW w:w="5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6"/>
        </w:trPr>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Election of three Class III directors named in the proxy statement (each for</w:t>
            </w:r>
          </w:p>
        </w:tc>
        <w:tc>
          <w:tcPr>
            <w:tcW w:w="1000" w:type="dxa"/>
            <w:vAlign w:val="bottom"/>
            <w:gridSpan w:val="5"/>
          </w:tcPr>
          <w:p>
            <w:pPr>
              <w:jc w:val="right"/>
              <w:ind w:right="340"/>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2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 all Director nominees</w:t>
            </w: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term of three years)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Non-binding, advisory vote to approve named executive officer</w:t>
            </w:r>
          </w:p>
        </w:tc>
        <w:tc>
          <w:tcPr>
            <w:tcW w:w="1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0000EE"/>
              </w:rPr>
              <w:t>23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the appointment of Deloitte &amp; Touche LLP as our</w:t>
            </w:r>
          </w:p>
        </w:tc>
        <w:tc>
          <w:tcPr>
            <w:tcW w:w="1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0000EE"/>
              </w:rPr>
              <w:t>24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registered public accounting firm for 2025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102870</wp:posOffset>
            </wp:positionV>
            <wp:extent cx="6172200" cy="7989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798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6480" w:type="dxa"/>
            <w:vAlign w:val="bottom"/>
            <w:gridSpan w:val="3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640" w:type="dxa"/>
            <w:vAlign w:val="bottom"/>
            <w:gridSpan w:val="4"/>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8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1640" w:type="dxa"/>
            <w:vAlign w:val="bottom"/>
            <w:gridSpan w:val="4"/>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5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580" w:type="dxa"/>
            <w:vAlign w:val="bottom"/>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3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580" w:type="dxa"/>
            <w:vAlign w:val="bottom"/>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Role of the Board in Risk Oversight</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5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Meetings of the Board of Directors</w:t>
            </w:r>
          </w:p>
        </w:tc>
        <w:tc>
          <w:tcPr>
            <w:tcW w:w="5420" w:type="dxa"/>
            <w:vAlign w:val="bottom"/>
            <w:gridSpan w:val="22"/>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Information Regarding Committees of the Board of Directors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2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Stockholder Engagement</w:t>
            </w:r>
          </w:p>
        </w:tc>
        <w:tc>
          <w:tcPr>
            <w:tcW w:w="4700" w:type="dxa"/>
            <w:vAlign w:val="bottom"/>
            <w:gridSpan w:val="1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 Guidelines</w:t>
            </w:r>
          </w:p>
        </w:tc>
        <w:tc>
          <w:tcPr>
            <w:tcW w:w="5240" w:type="dxa"/>
            <w:vAlign w:val="bottom"/>
            <w:gridSpan w:val="19"/>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Clawback Policy</w:t>
            </w:r>
          </w:p>
        </w:tc>
        <w:tc>
          <w:tcPr>
            <w:tcW w:w="6720" w:type="dxa"/>
            <w:vAlign w:val="bottom"/>
            <w:gridSpan w:val="33"/>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PROPOSAL 3 RATIFICATION OF SELECTION OF INDEPENDENT REGISTERED PUBLIC</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1120" w:type="dxa"/>
            <w:vAlign w:val="bottom"/>
            <w:gridSpan w:val="2"/>
          </w:tcPr>
          <w:p>
            <w:pPr>
              <w:spacing w:after="0"/>
              <w:rPr>
                <w:sz w:val="17"/>
                <w:szCs w:val="17"/>
                <w:color w:val="auto"/>
              </w:rPr>
            </w:pPr>
          </w:p>
        </w:tc>
        <w:tc>
          <w:tcPr>
            <w:tcW w:w="300" w:type="dxa"/>
            <w:vAlign w:val="bottom"/>
            <w:gridSpan w:val="5"/>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Pre-Approval Policies and Procedures</w:t>
            </w:r>
          </w:p>
        </w:tc>
        <w:tc>
          <w:tcPr>
            <w:tcW w:w="5100" w:type="dxa"/>
            <w:vAlign w:val="bottom"/>
            <w:gridSpan w:val="1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2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4920" w:type="dxa"/>
            <w:vAlign w:val="bottom"/>
            <w:gridSpan w:val="1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4920" w:type="dxa"/>
            <w:vAlign w:val="bottom"/>
            <w:gridSpan w:val="15"/>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2024 Summary Compensation Table</w:t>
            </w:r>
          </w:p>
        </w:tc>
        <w:tc>
          <w:tcPr>
            <w:tcW w:w="5100" w:type="dxa"/>
            <w:vAlign w:val="bottom"/>
            <w:gridSpan w:val="1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43</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2024 Grants of Plan-Based Awards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2024 Fiscal Year End</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45</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2024 Option Exercises and Stock Vested</w:t>
            </w:r>
          </w:p>
        </w:tc>
        <w:tc>
          <w:tcPr>
            <w:tcW w:w="5020" w:type="dxa"/>
            <w:vAlign w:val="bottom"/>
            <w:gridSpan w:val="1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and Benefits Upon Termination or Change in Control</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46</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CEO Pay Ratio</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50</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6260" w:type="dxa"/>
            <w:vAlign w:val="bottom"/>
            <w:gridSpan w:val="2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56</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64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2480" w:type="dxa"/>
            <w:vAlign w:val="bottom"/>
            <w:gridSpan w:val="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4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Related Person Transactions Policy and Procedures</w:t>
            </w:r>
          </w:p>
        </w:tc>
        <w:tc>
          <w:tcPr>
            <w:tcW w:w="2480" w:type="dxa"/>
            <w:vAlign w:val="bottom"/>
            <w:gridSpan w:val="5"/>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57</w:t>
            </w:r>
          </w:p>
        </w:tc>
      </w:tr>
      <w:tr>
        <w:trPr>
          <w:trHeight w:val="34"/>
        </w:trPr>
        <w:tc>
          <w:tcPr>
            <w:tcW w:w="180" w:type="dxa"/>
            <w:vAlign w:val="bottom"/>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Related Person Transactions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59</w:t>
            </w:r>
          </w:p>
        </w:tc>
      </w:tr>
      <w:tr>
        <w:trPr>
          <w:trHeight w:val="34"/>
        </w:trPr>
        <w:tc>
          <w:tcPr>
            <w:tcW w:w="18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60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are sending you a Notice of Internet Availability of Proxy Materials (the “Notice”) because the Board of Directors (the “Board”) of Life360, Inc. (sometimes referred to as the “Company” or “Life360”) is soliciting your proxy to vote at the 2025 Annual Meeting of Stockholders (the “Annual Meeting”) to be held virtually on Tuesday, May 27, 2025, at 4:30 p.m. Pacific Time (Wednesday, May 28, 2025, at 9:30 a.m. Australian Eastern Time), including at any adjournments or postponements of the meeting. All stockholders or holders of CHESS Depositary Interests (“CDIs”, and each such holder, a “CDI holder”)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6" w:lineRule="exact"/>
        <w:rPr>
          <w:sz w:val="20"/>
          <w:szCs w:val="20"/>
          <w:color w:val="auto"/>
        </w:rPr>
      </w:pPr>
    </w:p>
    <w:p>
      <w:pPr>
        <w:ind w:left="300" w:right="93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Wednesday, April 16, 2025 (U.S.) (being Thursday, April 17, 2025 (Australia)) to all stockholders of record entitled to vote at the Annual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We may send stockholders a proxy card, along with a supplement to the Notice, on or after Wednesday, April 16, 2025 (U.S.) (being Thursday, April 17, 2025 (Australia)).</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and you designate another person or entity to vote shares that you own of record,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or a CDI holder as of 2:00 a.m. Pacific Time on Friday, April 4, 2025 (8:00 p.m. Australian Eastern Time on Friday, April 4, 2025) (the “Record Date”), or hold a valid proxy for the meeting.</w:t>
      </w:r>
    </w:p>
    <w:p>
      <w:pPr>
        <w:spacing w:after="0" w:line="68" w:lineRule="exact"/>
        <w:rPr>
          <w:sz w:val="20"/>
          <w:szCs w:val="20"/>
          <w:color w:val="auto"/>
        </w:rPr>
      </w:pPr>
    </w:p>
    <w:p>
      <w:pPr>
        <w:ind w:left="300" w:right="67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to be admitted to the Annual Meeting, you will need to visit www.virtualshareholdermeeting.com/LIF2025 and enter the 16-digit Control Number found next to the label “Control Number” on your Notice of Internet Availability, proxy card or voting instruction form, or in the email sending you this Proxy Statement.</w:t>
      </w:r>
    </w:p>
    <w:p>
      <w:pPr>
        <w:spacing w:after="0" w:line="72"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(as defined below) and wish to attend the Annual Meeting, you should contact the bank, broker or other institution where you hold your account well in advance of the meeting if you have questions about obtaining your Control Number.</w:t>
      </w:r>
    </w:p>
    <w:p>
      <w:pPr>
        <w:spacing w:after="0" w:line="6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are a CDI holder, to be admitted to the Annual Meeting, you will need to login as a guest. To view the meeting webcast visit www.virtualshareholdermeeting.com/LIF2025 and register as a guest, but you will not be able to vote your CDIs during the meeting via the online facility.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or CDIs be represented.</w:t>
      </w:r>
    </w:p>
    <w:p>
      <w:pPr>
        <w:spacing w:after="0" w:line="117"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15 minutes before the meeting at 4:15 p.m. Pacific Time on Tuesday, May 27, 2025 (9:15 a.m. Australian Eastern Time on Wednesday, May 28, 2025).</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(that is, the shares are held in your name), you may call Broadridge at +1-844-976-0738 (U.S. Toll Free) or 303-552-9301 (International) on Tuesday, May 27, 2025 beginning at 5 a.m. Pacific Time (Wednesday, May 28, 2025 beginning at 10 p.m. Australian Eastern Time) and Broadridge will be able to provide your Control Number to you.</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(as defined below) (that is, you hold your shares in an account at a bank, broker or other holder of record), you will need to contact that bank, broker or other holder of record to obtain your Control Number prior to the Annual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jc w:val="both"/>
        <w:ind w:left="300" w:right="559"/>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virtual meeting, a technical assistant phone number will be made available on the virtual meeting registration page 15 minutes prior to the start of the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we ask questions of management and the board?</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plan to have a Questions &amp; Answers session at the Annual Meeting and will include as many questions as the allotted time permits. Only stockholders of record, beneficial owners of shares held in Street Name (as defined below) and CDI holders that attend the Annual Meeting via the virtual online facility will be able to ask questions at the Annual Meeting. If you have a specific question that you would like to submit to the chair of the meeting, please send your question via email to investors@life360.com OR by mail. For CDI holders, please mail your questions to: Company Matters Level 41, 161 Castlereagh Street, Sydney NSW Australia 2000 (PO Box 20547, World Square NSW Australia 2002) Attention: Kimberly Sue, no later than Friday, May 23, 2025 at 6:30 p.m. Pacific Time (Saturday, May 24, 2025 at 11:30 a.m. Australian Eastern Time). For holders of Common Stock, please mail your questions to: Life360, Inc., c/o Investor Relations, 1900 S Norfolk Street, Suite 310, San Mateo, CA 94403, USA. Only questions pertinent to the business to be conducted at the Annual Meeting will be answered during the meeting, subject to time constraints. Questions that are substantially similar may be grouped together and we may provide a single response to avoid repetition.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21" w:lineRule="exact"/>
        <w:rPr>
          <w:sz w:val="20"/>
          <w:szCs w:val="20"/>
          <w:color w:val="auto"/>
        </w:rPr>
      </w:pPr>
    </w:p>
    <w:p>
      <w:pPr>
        <w:ind w:left="300" w:right="1239"/>
        <w:spacing w:after="0" w:line="312" w:lineRule="auto"/>
        <w:rPr>
          <w:sz w:val="20"/>
          <w:szCs w:val="20"/>
          <w:color w:val="auto"/>
        </w:rPr>
      </w:pPr>
      <w:r>
        <w:rPr>
          <w:rFonts w:ascii="Times New Roman" w:cs="Times New Roman" w:eastAsia="Times New Roman" w:hAnsi="Times New Roman"/>
          <w:sz w:val="17"/>
          <w:szCs w:val="17"/>
          <w:color w:val="auto"/>
        </w:rPr>
        <w:t>Yes, a replay of the Annual Meeting webcast will be made available at our Investor Relations website at investors.life360.com as soon as practicable after the Annual Meeting and remain for at least one year.</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following securityholders as of the Record Date will be entitled to vote at the Annual Meeting and any adjournment or postponement thereof:</w:t>
      </w:r>
    </w:p>
    <w:p>
      <w:pPr>
        <w:spacing w:after="0" w:line="54"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of shares held in Street Name (as defined below) who obtain a “legal proxy” from their applicable broker, bank, trustee, or other nominee giving such holder the right to vote the shares at the Annual Meeting,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who nominate themselves or another person to be appointed as CDN’s proxy with respect to the shares underlying their CDIs by completing Step 1 in the CDI Voting Instruction Form.</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If you own shares registered directly in your name with the Company’s U.S. share registrar, Computershare Trust Company, N.A. (“Computershare U.S.”), you are considered the stockholder of record with respect to those shares. As a stockholder of record, you have the right to grant your voting proxy directly to the Company or to vote in person at the Annual Meeting by registering and participating in the virtual online facility. Whether or not you plan to attend the meeting, we urge you to vote as soon as possible, using one of the methods listed below at “How do I vote if I hold shares of Common Stock?”. Even if you currently plan to attend the virtual meeting and vote your shares at the Annual Meeting, we recommend that you vote your shares in advance as described below so that your vote will be counted if you later decide not to attend the meeting. If you submit your vote by proxy and later decide to vote in person at the Annual Meeting by registering and participating in the virtual online facility, the vote you submit at the Annual Meeting will override your proxy vote. See “</w:t>
      </w:r>
      <w:r>
        <w:rPr>
          <w:rFonts w:ascii="Times New Roman" w:cs="Times New Roman" w:eastAsia="Times New Roman" w:hAnsi="Times New Roman"/>
          <w:sz w:val="18"/>
          <w:szCs w:val="18"/>
          <w:i w:val="1"/>
          <w:iCs w:val="1"/>
          <w:color w:val="auto"/>
        </w:rPr>
        <w:t>How do I vote if I hold shares of Common Stock?</w:t>
      </w:r>
      <w:r>
        <w:rPr>
          <w:rFonts w:ascii="Times New Roman" w:cs="Times New Roman" w:eastAsia="Times New Roman" w:hAnsi="Times New Roman"/>
          <w:sz w:val="18"/>
          <w:szCs w:val="18"/>
          <w:color w:val="auto"/>
        </w:rPr>
        <w:t>” below.</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119"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trust or other nominee, then the broker, bank, trust or other nominee is considered to be the stockholder of record with respect to those shares, while you are considered the beneficial owner of those shares and your shares are held in street name (“Street Name”). Street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Name holders generally cannot vote their shares directly. If you are a Street Name holder, you should expect to receive a voting instruction form and materials from your broker, bank, trust or other nominee with instructions on how to vote your shares based on the proposals and voting options disclosed in the voting instruction form. Since a Street Name holder is not the stockholder of record, the Street Name holder may not vote their shares in person via the virtual online facility at the Annual Meeting unless such holder obtains a “legal proxy” from their applicable broker, bank, trustee, or other nominee giving such holder the right to vote the shares at the Annual Meeting. See “</w:t>
      </w:r>
      <w:r>
        <w:rPr>
          <w:rFonts w:ascii="Times New Roman" w:cs="Times New Roman" w:eastAsia="Times New Roman" w:hAnsi="Times New Roman"/>
          <w:sz w:val="18"/>
          <w:szCs w:val="18"/>
          <w:i w:val="1"/>
          <w:iCs w:val="1"/>
          <w:color w:val="auto"/>
        </w:rPr>
        <w:t>How do I vote if I hold shares of Common Stock?</w:t>
      </w:r>
      <w:r>
        <w:rPr>
          <w:rFonts w:ascii="Times New Roman" w:cs="Times New Roman" w:eastAsia="Times New Roman" w:hAnsi="Times New Roman"/>
          <w:sz w:val="18"/>
          <w:szCs w:val="18"/>
          <w:color w:val="auto"/>
        </w:rPr>
        <w:t>” below.</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CDI Holders</w:t>
      </w:r>
    </w:p>
    <w:p>
      <w:pPr>
        <w:spacing w:after="0" w:line="119" w:lineRule="exact"/>
        <w:rPr>
          <w:sz w:val="20"/>
          <w:szCs w:val="20"/>
          <w:color w:val="auto"/>
        </w:rPr>
      </w:pPr>
    </w:p>
    <w:p>
      <w:pPr>
        <w:ind w:left="300" w:right="399"/>
        <w:spacing w:after="0" w:line="267" w:lineRule="auto"/>
        <w:rPr>
          <w:sz w:val="20"/>
          <w:szCs w:val="20"/>
          <w:color w:val="auto"/>
        </w:rPr>
      </w:pPr>
      <w:r>
        <w:rPr>
          <w:rFonts w:ascii="Times New Roman" w:cs="Times New Roman" w:eastAsia="Times New Roman" w:hAnsi="Times New Roman"/>
          <w:sz w:val="17"/>
          <w:szCs w:val="17"/>
          <w:color w:val="auto"/>
        </w:rPr>
        <w:t>If you are a CDI holder, you can participate in the Annual Meeting by registering as a guest in the virtual online facility. However, because the holders of CDIs are not the legal owners of the underlying shares of Common Stock, CDI holders are unable to vote during the meeting, unless such holders have, prior to the Annual Meeting, nominated themselves or another person to be appointed as CDN’s proxy with respect to the shares underlying their CDIs by completing Step 2 in the CDI Voting Instruction Form. CHESS Depositary Nominees Pty Ltd (“CDN”) is the stockholder of record for all shares beneficially owned by holders of CDIs. Holders of CDIs are entitled to receive the Notice and attend the Annual Meeting and may vote by using the methods described in the CDI Voting Instruction Form. For votes to be counted, the CDI Voting Instruction Form must be lodged with the Company’s Australian share registrar, Computershare Investor Services Pty Limited (“Computershare AUS”), the agent the Company has designated for the collection and processing of voting instructions from the Company’s CDI holders, no later than 5:00 p.m. Australian Eastern Time on Friday, May 23, 2025 (12:00 a.m. Pacific Time on Friday,</w:t>
      </w:r>
    </w:p>
    <w:p>
      <w:pPr>
        <w:spacing w:after="0" w:line="2"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May 23, 2025) and in a manner as set out in the Notice of Annual Meeting and this Proxy Statement. Computershare AUS is required to follow the voting instructions properly received from holders of CDIs. See “</w:t>
      </w:r>
      <w:r>
        <w:rPr>
          <w:rFonts w:ascii="Times New Roman" w:cs="Times New Roman" w:eastAsia="Times New Roman" w:hAnsi="Times New Roman"/>
          <w:sz w:val="18"/>
          <w:szCs w:val="18"/>
          <w:i w:val="1"/>
          <w:iCs w:val="1"/>
          <w:color w:val="auto"/>
        </w:rPr>
        <w:t>How do I vote if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 CDIs</w:t>
      </w:r>
      <w:r>
        <w:rPr>
          <w:rFonts w:ascii="Times New Roman" w:cs="Times New Roman" w:eastAsia="Times New Roman" w:hAnsi="Times New Roman"/>
          <w:sz w:val="18"/>
          <w:szCs w:val="18"/>
          <w:color w:val="auto"/>
        </w:rPr>
        <w:t>?” below.</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17"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three Class III directors named in this Proxy Statement (“Proposal 1”);</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non-binding, basis of the compensation of the Company’s named executive officers (“Proposal 2”);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by the Audit Committee of the Board of Deloitte &amp; Touche LLP as the independent registered public accounting firm of the Company for its fiscal year ending December 31, 2025 (“Proposal 3”).</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479"/>
        <w:spacing w:after="0" w:line="261" w:lineRule="auto"/>
        <w:rPr>
          <w:sz w:val="20"/>
          <w:szCs w:val="20"/>
          <w:color w:val="auto"/>
        </w:rPr>
      </w:pPr>
      <w:r>
        <w:rPr>
          <w:rFonts w:ascii="Times New Roman" w:cs="Times New Roman" w:eastAsia="Times New Roman" w:hAnsi="Times New Roman"/>
          <w:sz w:val="18"/>
          <w:szCs w:val="18"/>
          <w:color w:val="auto"/>
        </w:rPr>
        <w:t>The Company knows of no other matters that will be presented for consideration at the Annual Meeting other than the proposals named in this Proxy Statement. If any other matters are properly brought before the meeting, it is the intention of the persons named in the accompanying proxy to vote with discretionary authority on such matters in accordance with their best judgment.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 if I hold shares of Common Stock?</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At the Annual Meeting, every holder of Common Stock, either present in person (virtual attendance) or by proxy, is entitled to one vote for each share of Common Stock held on the Record Date on all matters submitted to a vote of the stockholders.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stockholder of record, you can vote in any of the following ways:</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 person (virtual attendance)</w:t>
      </w:r>
    </w:p>
    <w:p>
      <w:pPr>
        <w:spacing w:after="0" w:line="11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Physical attendance at the Annual Meeting is not available. Stockholders may attend the virtual online facility by accessing the following link: www.virtualshareholdermeeting.com/LIF2025 and vote online using the facility during the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Proxy forms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You may vote by submitting a signed and dated proxy card.</w:t>
      </w:r>
    </w:p>
    <w:p>
      <w:pPr>
        <w:sectPr>
          <w:pgSz w:w="11900" w:h="16838" w:orient="portrait"/>
          <w:cols w:equalWidth="0" w:num="1">
            <w:col w:w="9019"/>
          </w:cols>
          <w:pgMar w:left="1440" w:top="114" w:right="1440" w:bottom="1440" w:gutter="0" w:footer="0" w:header="0"/>
        </w:sectPr>
      </w:pP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Processing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Broadridge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Mercedes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Edgewood, NY 11717, USA</w:t>
      </w:r>
    </w:p>
    <w:p>
      <w:pPr>
        <w:spacing w:after="0" w:line="110" w:lineRule="exact"/>
        <w:rPr>
          <w:sz w:val="20"/>
          <w:szCs w:val="20"/>
          <w:color w:val="auto"/>
        </w:rPr>
      </w:pPr>
    </w:p>
    <w:p>
      <w:pPr>
        <w:sectPr>
          <w:pgSz w:w="11900" w:h="16838" w:orient="portrait"/>
          <w:cols w:equalWidth="0" w:num="2">
            <w:col w:w="860" w:space="620"/>
            <w:col w:w="7539"/>
          </w:cols>
          <w:pgMar w:left="1440" w:top="114" w:right="1440" w:bottom="1440" w:gutter="0" w:footer="0" w:header="0"/>
          <w:type w:val="continuous"/>
        </w:sectPr>
      </w:pPr>
    </w:p>
    <w:p>
      <w:pPr>
        <w:jc w:val="both"/>
        <w:ind w:left="1480" w:right="379"/>
        <w:spacing w:after="0" w:line="266" w:lineRule="auto"/>
        <w:rPr>
          <w:sz w:val="20"/>
          <w:szCs w:val="20"/>
          <w:color w:val="auto"/>
        </w:rPr>
      </w:pPr>
      <w:r>
        <w:rPr>
          <w:rFonts w:ascii="Times New Roman" w:cs="Times New Roman" w:eastAsia="Times New Roman" w:hAnsi="Times New Roman"/>
          <w:sz w:val="18"/>
          <w:szCs w:val="18"/>
          <w:color w:val="auto"/>
        </w:rPr>
        <w:t>To ensure your votes are cast, your signed and dated proxy card must be received by Broadridge no later than 8:59 p.m. Pacific Time on Monday, May 26, 2025 (1:59 p.m. Australian Eastern Time on Tuesday, May 27, 2025).</w:t>
      </w:r>
    </w:p>
    <w:p>
      <w:pPr>
        <w:sectPr>
          <w:pgSz w:w="11900" w:h="16838" w:orient="portrait"/>
          <w:cols w:equalWidth="0" w:num="1">
            <w:col w:w="9019"/>
          </w:cols>
          <w:pgMar w:left="1440" w:top="114" w:right="1440" w:bottom="1440" w:gutter="0" w:footer="0" w:header="0"/>
          <w:type w:val="continuous"/>
        </w:sectPr>
      </w:pP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www.proxyvote.com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 the directions or the Notice and use your 16-digit Control Number. Proxies submitted online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be submitted no later than 8:59 p.m. Pacific Time on Monday, May 26, 2025 (1:59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Australian Eastern Time on Tuesday, May 27, 2025).</w:t>
      </w:r>
    </w:p>
    <w:p>
      <w:pPr>
        <w:spacing w:after="0" w:line="122" w:lineRule="exact"/>
        <w:rPr>
          <w:sz w:val="20"/>
          <w:szCs w:val="20"/>
          <w:color w:val="auto"/>
        </w:rPr>
      </w:pPr>
    </w:p>
    <w:p>
      <w:pPr>
        <w:sectPr>
          <w:pgSz w:w="11900" w:h="16838" w:orient="portrait"/>
          <w:cols w:equalWidth="0" w:num="2">
            <w:col w:w="800" w:space="680"/>
            <w:col w:w="753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By phone</w:t>
      </w:r>
    </w:p>
    <w:p>
      <w:pPr>
        <w:spacing w:after="0" w:line="20" w:lineRule="exact"/>
        <w:rPr>
          <w:sz w:val="20"/>
          <w:szCs w:val="20"/>
          <w:color w:val="auto"/>
        </w:rPr>
      </w:pPr>
      <w:r>
        <w:rPr>
          <w:sz w:val="20"/>
          <w:szCs w:val="20"/>
          <w:color w:val="auto"/>
        </w:rPr>
        <w:br w:type="column"/>
      </w:r>
    </w:p>
    <w:p>
      <w:pPr>
        <w:ind w:right="679"/>
        <w:spacing w:after="0" w:line="261" w:lineRule="auto"/>
        <w:rPr>
          <w:sz w:val="20"/>
          <w:szCs w:val="20"/>
          <w:color w:val="auto"/>
        </w:rPr>
      </w:pPr>
      <w:r>
        <w:rPr>
          <w:rFonts w:ascii="Times New Roman" w:cs="Times New Roman" w:eastAsia="Times New Roman" w:hAnsi="Times New Roman"/>
          <w:sz w:val="18"/>
          <w:szCs w:val="18"/>
          <w:color w:val="auto"/>
        </w:rPr>
        <w:t>1-800-690-6903 (USA, US Territories &amp; Canada only). Follow the instructions provided by the recorded message. Follow the directions or the Notice and use your 16-digit Control Number. Proxies submitted online must be submitted no later than 8:59 p.m. Pacific Time on Monday, May 26, 2025 (1:59 p.m. Australian Eastern Time on Tuesday, May 27, 2025).</w:t>
      </w:r>
    </w:p>
    <w:p>
      <w:pPr>
        <w:spacing w:after="0" w:line="200" w:lineRule="exact"/>
        <w:rPr>
          <w:sz w:val="20"/>
          <w:szCs w:val="20"/>
          <w:color w:val="auto"/>
        </w:rPr>
      </w:pPr>
    </w:p>
    <w:p>
      <w:pPr>
        <w:sectPr>
          <w:pgSz w:w="11900" w:h="16838" w:orient="portrait"/>
          <w:cols w:equalWidth="0" w:num="2">
            <w:col w:w="1000" w:space="480"/>
            <w:col w:w="7539"/>
          </w:cols>
          <w:pgMar w:left="1440" w:top="114" w:right="1440" w:bottom="1440" w:gutter="0" w:footer="0" w:header="0"/>
          <w:type w:val="continuous"/>
        </w:sectPr>
      </w:pPr>
    </w:p>
    <w:p>
      <w:pPr>
        <w:spacing w:after="0" w:line="3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If you are a Street Name holder, you should receive a voting instruction form from your broker, bank, trust, or other nominee with instructions on how to vote your shares based on the proposals and voting options disclosed in the voting instruction form, which is similar to the voting procedures for stockholders of record. To vote prior to the meeting, simply follow the voting instructions in the voting instruction form to ensure that your vote is counted. To vote at the Annual Meeting, you must obtain a valid proxy from your broker, bank or other agent prior to the Annual Meeting. Follow the instructions from your broker, bank or other agent included with these proxy materials, or contact that organization to request a proxy form.</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 if I hold CDIs?</w:t>
      </w:r>
    </w:p>
    <w:p>
      <w:pPr>
        <w:spacing w:after="0" w:line="121" w:lineRule="exact"/>
        <w:rPr>
          <w:sz w:val="20"/>
          <w:szCs w:val="20"/>
          <w:color w:val="auto"/>
        </w:rPr>
      </w:pPr>
    </w:p>
    <w:p>
      <w:pPr>
        <w:ind w:left="300" w:right="819"/>
        <w:spacing w:after="0" w:line="312" w:lineRule="auto"/>
        <w:rPr>
          <w:sz w:val="20"/>
          <w:szCs w:val="20"/>
          <w:color w:val="auto"/>
        </w:rPr>
      </w:pPr>
      <w:r>
        <w:rPr>
          <w:rFonts w:ascii="Times New Roman" w:cs="Times New Roman" w:eastAsia="Times New Roman" w:hAnsi="Times New Roman"/>
          <w:sz w:val="17"/>
          <w:szCs w:val="17"/>
          <w:color w:val="auto"/>
        </w:rPr>
        <w:t>If you are a CDI holder you may attend the virtual Annual Meeting but will not be able to lodge a vote at the meeting using the virtual online facility. You must therefore take one of the following actions in order to vote:</w:t>
      </w:r>
    </w:p>
    <w:p>
      <w:pPr>
        <w:spacing w:after="0" w:line="180" w:lineRule="exact"/>
        <w:rPr>
          <w:sz w:val="20"/>
          <w:szCs w:val="20"/>
          <w:color w:val="auto"/>
        </w:rPr>
      </w:pPr>
    </w:p>
    <w:p>
      <w:pPr>
        <w:ind w:left="1580" w:right="439" w:hanging="348"/>
        <w:spacing w:after="0" w:line="261"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the shares underlying your CDIs by completing and returning your CDI Voting Instruction Form (as described above) which must be lodged with Computershare AUS by no later than 5:00 p.m. Australian Eastern Time on Friday, May 23 (12:00 a.m. Pacific Time on Friday, May 23, 2025), in accordance with the instructions on that form.</w:t>
      </w:r>
    </w:p>
    <w:p>
      <w:pPr>
        <w:sectPr>
          <w:pgSz w:w="11900" w:h="16838" w:orient="portrait"/>
          <w:cols w:equalWidth="0" w:num="1">
            <w:col w:w="9019"/>
          </w:cols>
          <w:pgMar w:left="1440" w:top="114" w:right="1440" w:bottom="1440" w:gutter="0" w:footer="0" w:header="0"/>
          <w:type w:val="continuous"/>
        </w:sectPr>
      </w:pP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919"/>
        <w:spacing w:after="0" w:line="282" w:lineRule="auto"/>
        <w:rPr>
          <w:sz w:val="20"/>
          <w:szCs w:val="20"/>
          <w:color w:val="auto"/>
        </w:rPr>
      </w:pPr>
      <w:r>
        <w:rPr>
          <w:rFonts w:ascii="Times New Roman" w:cs="Times New Roman" w:eastAsia="Times New Roman" w:hAnsi="Times New Roman"/>
          <w:sz w:val="18"/>
          <w:szCs w:val="18"/>
          <w:color w:val="auto"/>
        </w:rPr>
        <w:t>Share Registry – Computershare Investor Services Pty Limited, GPO Box 242, Melbourne Victoria 3001, Australia</w:t>
      </w:r>
    </w:p>
    <w:p>
      <w:pPr>
        <w:spacing w:after="0" w:line="77" w:lineRule="exact"/>
        <w:rPr>
          <w:sz w:val="20"/>
          <w:szCs w:val="20"/>
          <w:color w:val="auto"/>
        </w:rPr>
      </w:pPr>
    </w:p>
    <w:p>
      <w:pPr>
        <w:sectPr>
          <w:pgSz w:w="11900" w:h="16838" w:orient="portrait"/>
          <w:cols w:equalWidth="0" w:num="2">
            <w:col w:w="860" w:space="720"/>
            <w:col w:w="743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By 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1800 783 447 (within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3 9473 2555 (outside Australia)</w:t>
      </w:r>
    </w:p>
    <w:p>
      <w:pPr>
        <w:spacing w:after="0" w:line="122" w:lineRule="exact"/>
        <w:rPr>
          <w:sz w:val="20"/>
          <w:szCs w:val="20"/>
          <w:color w:val="auto"/>
        </w:rPr>
      </w:pPr>
    </w:p>
    <w:p>
      <w:pPr>
        <w:sectPr>
          <w:pgSz w:w="11900" w:h="16838" w:orient="portrait"/>
          <w:cols w:equalWidth="0" w:num="2">
            <w:col w:w="860" w:space="720"/>
            <w:col w:w="743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www.investorvote.com.au</w:t>
      </w:r>
    </w:p>
    <w:p>
      <w:pPr>
        <w:spacing w:after="0" w:line="144" w:lineRule="exact"/>
        <w:rPr>
          <w:sz w:val="20"/>
          <w:szCs w:val="20"/>
          <w:color w:val="auto"/>
        </w:rPr>
      </w:pPr>
    </w:p>
    <w:p>
      <w:pPr>
        <w:sectPr>
          <w:pgSz w:w="11900" w:h="16838" w:orient="portrait"/>
          <w:cols w:equalWidth="0" w:num="2">
            <w:col w:w="860" w:space="720"/>
            <w:col w:w="7439"/>
          </w:cols>
          <w:pgMar w:left="1440" w:top="114" w:right="1440" w:bottom="1440" w:gutter="0" w:footer="0" w:header="0"/>
          <w:type w:val="continuous"/>
        </w:sectPr>
      </w:pPr>
    </w:p>
    <w:p>
      <w:pPr>
        <w:ind w:left="1580" w:right="319" w:hanging="358"/>
        <w:spacing w:after="0" w:line="25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Computershare AUS by no later than 5:00 p.m. Australian Eastern Time on Friday, May 23 (12:00 a.m. Pacific Time on Friday, May 23, 2025) that you wish to nominate yourself or another person to be appointed as CDN’s proxy with respect to the shares underlying your CDIs for the purposes of attending and voting at the Annual Meeting by completing Step 2 in the CDI Voting Instruction Form.</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399"/>
        <w:spacing w:after="0" w:line="262" w:lineRule="auto"/>
        <w:rPr>
          <w:sz w:val="20"/>
          <w:szCs w:val="20"/>
          <w:color w:val="auto"/>
        </w:rPr>
      </w:pPr>
      <w:r>
        <w:rPr>
          <w:rFonts w:ascii="Times New Roman" w:cs="Times New Roman" w:eastAsia="Times New Roman" w:hAnsi="Times New Roman"/>
          <w:sz w:val="18"/>
          <w:szCs w:val="18"/>
          <w:b w:val="1"/>
          <w:bCs w:val="1"/>
          <w:color w:val="auto"/>
        </w:rPr>
        <w:t>Internet voting will be provided to allow you to vote your shares or CDIs online, with procedures designed to ensure the authenticity and correctness of your voting instructions. However, please be aware that you must bear any costs associated with your internet access, such as usage charges from internet access providers and telephone companies.</w:t>
      </w:r>
    </w:p>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 Each CDI represents 1/3 of a share of Common Stock. Therefore, each CDI holder will be entitled to one vote for every 3 CDIs that they hold. Only full shares of Common Stock will count towards the vote, fractional shares will not be voted. To the extent a holder’s CDIs represent a fractional share of Common Stock, such fractional share will not count towards the vote.</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As at the Record Date, there are 76,421,100 shares of Common Stock outstanding, including shares underlying all issued and outstanding CDIs (such outstanding shares of Common Stock, including shares underlying all issued and outstanding CDIs, being equivalent to 229,263,300 CDIs), all of which are entitled to vote with respect to the items to be acted upon at the Annual Meeting, subject to applicable voting exclusions. Therefore, there are currently a total of 76,421,100 votes entitled to be cast at the Annual Meeting, or at adjournments or postponements thereof.</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shares or CDIs be voted if I do not return my proxy or CDI Voting Instruction Form?</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and you do not personally vote at the Annual Meeting via the online voting platform. Your shares of Common Stock may be voted under limited circumstances if they are held in the name of a U.S. brokerage firm. U.S. brokerage firms generally have the authority to vote a customer’s unvoted shares on certain “routine” matters. At the Annual Meeting, the proposals to ratify the appointment of the Company’s independent public accountants of authorized shares is the only “routine” matter. When a brokerage firm votes its customer’s unvoted shares, these shares are counted for the purposes of establishing a quorum.</w:t>
      </w:r>
    </w:p>
    <w:p>
      <w:pPr>
        <w:spacing w:after="0" w:line="8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If you hold CDIs, they will not be voted if your completed CDI Voting Instruction Form is not provided to Computershare AUS by 5:00 p.m. Australian Eastern Time on Friday, May 23, 2025 (12:00 a.m. Pacific Time on Friday, May 23, 2025), in accordance with the instructions on that form.</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my proxy card or CDI Voting Instruction Form but do not include voting instructions?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as recommended by the Board as described in this Proxy Statement, and in the discretion of the proxy holders as to any other business (other than the proposals contained in this Proxy Statement) which may properly come before the Annual Meeting.</w:t>
      </w:r>
    </w:p>
    <w:p>
      <w:pPr>
        <w:spacing w:after="0" w:line="68"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If you are a Street Name holder and do not provide the organization that holds your shares with specific voting instructions, the broker, bank or other agent that holds your shares may generally vote your shares on “routine” matters but cannot vote on “non-routine” matters. Proposals 1 and 2 are considered to be “non-routine” under the applicable rules. Accordingly,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 However, Proposal 3 is considered to be a “routine” matter under the applicable rules, meaning that if you do not provide voting instructions to your broker, bank or other agent by its deadline, your shares may be voted upon Proposal 3 by your broker, bank or other agent.</w:t>
      </w:r>
    </w:p>
    <w:p>
      <w:pPr>
        <w:spacing w:after="0" w:line="80"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If you are a Street Name holder and do not give voting instructions to your broker, bank or other agent, the broker, bank or other agent cannot vote your shares on “non-routine” matters and these un-voted shares are counted as “broker non-votes.” Broker non-votes will be counted for purposes of calculating whether a quorum is present at the Annual Meeting, but will not affect the outcome of the election of our directors or the advisory vote to approve our executive compensation, as these matters are determined based on the number of votes cast and broker non-votes are not considered votes cast.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Company will pay for the cost of proxy preparation and solicitation, including the reasonable charges and expenses of brokerage firms, banks, trusts, or other nominees for forwarding proxy materials to Street Name holders and CDI holders. The Company is soliciting proxies by mail. In addition, the directors, officers and regular employees of the Company may solicit proxies personally, telephonically, electronically or by other means of communication. The Company’s Directors, officers and regular employees will receive no additional compensation for their services other than their regular compensation. The Company has engaged Nasdaq Corporate Solutions, LLC to solicit proxies for an estimated fee of $11,000, plus expenses.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proxy card or voting instruction form?</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proxy card or voting instruction form, your shares or CDIs may be registered in more than one name or in more than one account. Please follow the voting instructions for each Notice, proxy card or voting instruction form you receive to ensure that all of your shares are voted.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change my vote or revoke my proxy or voting instructions?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the record holder of your shares, you may revoke your proxy prior to the completion of voting at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in any one of the following ways:</w:t>
      </w:r>
    </w:p>
    <w:p>
      <w:pPr>
        <w:spacing w:after="0" w:line="99" w:lineRule="exact"/>
        <w:rPr>
          <w:sz w:val="20"/>
          <w:szCs w:val="20"/>
          <w:color w:val="auto"/>
        </w:rPr>
      </w:pPr>
    </w:p>
    <w:p>
      <w:pPr>
        <w:ind w:left="1000" w:right="4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notice of revocation with Broadridge by no later than 8:59 p.m. Pacific Time on Monday, May 26, 2025 (1:59 p.m. Australian Eastern Time on Tuesday, May 27, 2025) in the manner specified below;</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signed proxy card with a later date or submitting a later proxy by phone or online by no later than 8:59 p.m. Pacific Time on Monday, May 26, 2025 (1:59 p.m. Australian Eastern Time on Tuesday, May 27, 2025); or</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using the virtual online facility, revoking your proxy, and voting via the online facility. Simply attending the meeting will not, by itself, revoke your proxy.</w:t>
      </w:r>
    </w:p>
    <w:p>
      <w:pPr>
        <w:spacing w:after="0" w:line="54" w:lineRule="exact"/>
        <w:rPr>
          <w:sz w:val="20"/>
          <w:szCs w:val="20"/>
          <w:color w:val="auto"/>
        </w:rPr>
      </w:pPr>
    </w:p>
    <w:p>
      <w:pPr>
        <w:ind w:left="300" w:right="999"/>
        <w:spacing w:after="0" w:line="282" w:lineRule="auto"/>
        <w:rPr>
          <w:sz w:val="20"/>
          <w:szCs w:val="20"/>
          <w:color w:val="auto"/>
        </w:rPr>
      </w:pPr>
      <w:r>
        <w:rPr>
          <w:rFonts w:ascii="Times New Roman" w:cs="Times New Roman" w:eastAsia="Times New Roman" w:hAnsi="Times New Roman"/>
          <w:sz w:val="18"/>
          <w:szCs w:val="18"/>
          <w:color w:val="auto"/>
        </w:rPr>
        <w:t>The written notice to change or revoke your proxy to Broadridge must be delivered to: Vote Processing, c/o Broadridge, 51 Mercedes Way, Edgewood, NY 11717, USA.</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11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If you are a Street Name holder, you may submit new voting instructions by contacting your broker, bank, or other nominee. You may also change your vote or revoke your voting instructions via the virtual online facility at the Annual Meeting if you obtain a signed proxy from the record holder (broker, bank, or other nominee) giving you the right to vote the shares.</w:t>
      </w:r>
    </w:p>
    <w:p>
      <w:pPr>
        <w:spacing w:after="0" w:line="7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If you are a CDI holder and you complete the CDI Voting Instruction Form, you may revoke those directions by delivering to Computershare AUS, by 5:00 p.m. Australian Eastern Time on Friday, May 23, 2025 (12:00 a.m. Pacific Time on Friday, May 23, 2025), a written notice of revocation bearing a later date than the CDI Voting Instruction Form previously sent. The written statement can be delivered to Computershare Investor Services Pty Limited, GPO Box 242, Melbourne Victoria 3001, Australia, or hand delivered to such address. Alternatively, if you have previously submitted a completed CDI Voting Instruction Form to Computershare, you may change (but not revoke) your vote by logging on to www.investorvote.com.au by 5:00 p.m. Australian Eastern Time on Friday, May 23, 2025 (12:00 a.m. Pacific Time on Friday, May 23, 2025). In addition, if you are a CDI holder and prior to the Annual Meeting you nominate yourself or another person to be appointed as CDN’s proxy with respect to the shares underlying your CDIs by completing Step 2 in the CDI Voting Instruction Form, you may vote at the Annual Meeting.</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the 2026 annual meeting of stockholders?</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in accordance with Rule 14a-8 promulgated under the Securities Exchange Act of 1934, as amended (the “Exchange Act”), your proposal must be submitted in writing so that it is received by the Company at its principal executive offices no later than Wednesday, December 17, 2025 (U.S.) (Thursday, December 18, 2025 (Australia)), and otherwise comply with SEC rules. The Company requests that all such proposals be addressed to Life360, Inc., Attn: Management, 1900 S Norfolk Street, Suite 310, San Mateo, CA 94403 and mailed by certified mail, return receipt requested.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wish to submit a director nomination that is not to be included in next year’s proxy materials, you must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comply with the requirements of proxy access as set forth in the Company’s Bylaws. For the 2026 Annual Meeting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Stockholders, such nominations must be received by the Company no earlier than the close of business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120th day and no later than the 90th day before the first anniversary in connection with the preceding year’s annual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meeting of stockholders. To be timely for the 2026 Annual Meeting of Stockholders, any such notice must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received by the Company at the address above no later than Thursday, February 26, 2026 (U.S.) (Friday,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27, 2026 (Australia)) and not before Tuesday, January 27, 2026 (U.S.) (Wednesday, Thursday, January 28,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2026 (Australia)).</w:t>
      </w:r>
    </w:p>
    <w:p>
      <w:pPr>
        <w:spacing w:after="0" w:line="9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the Company’s nominees must provide notice that sets forth the information required by Rule 14a-19 promulgated under the Exchange Act no later than Monday, March 30, 2026 (U.S.) (Tuesday, March 31, 2026 (Australia)).</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(Proposal 1), votes “For,” “Withhold” and, if applicable, broker non-votes and, with respect to the proposal to approve, on an advisory basis, the compensation of the Company’s named executive officers (Proposal 2) and the proposal to ratify the appointment by the Audit Committee of the Board of Directors of Deloitte &amp; Touche LLP as the independent registered public accounting firm of the Company for its fiscal year ending December 31, 2025 (Proposal 3), votes “For” and “Against,” abstentions and, if applicable, broker non-votes. Abstentions are not applicable with respect to Proposal 1. For Proposals 2 and 3, abstentions will have no effect and will not be counted towards the vote total for any of those proposals.</w:t>
      </w:r>
    </w:p>
    <w:p>
      <w:pPr>
        <w:spacing w:after="0" w:line="84"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For proposals 1 and 2, broker non-votes (if any) will have no effect and will not be counted towards the vote total for any of these proposals. Brokers are permitted to vote on Proposal 3.</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Subject to voting exclusion statements for a particular proposal, the following table summarizes the minimum vote needed to approve each proposal and the effect of abstentions.</w:t>
      </w:r>
    </w:p>
    <w:p>
      <w:pPr>
        <w:sectPr>
          <w:pgSz w:w="11900" w:h="16838" w:orient="portrait"/>
          <w:cols w:equalWidth="0" w:num="1">
            <w:col w:w="9019"/>
          </w:cols>
          <w:pgMar w:left="1440" w:top="114" w:right="1440" w:bottom="1440" w:gutter="0" w:footer="0" w:header="0"/>
        </w:sectPr>
      </w:pP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7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2108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6" w:lineRule="exact"/>
        <w:rPr>
          <w:sz w:val="20"/>
          <w:szCs w:val="20"/>
          <w:color w:val="auto"/>
        </w:rPr>
      </w:pPr>
    </w:p>
    <w:p>
      <w:pPr>
        <w:ind w:left="1040" w:hanging="516"/>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00" w:lineRule="exact"/>
        <w:rPr>
          <w:sz w:val="20"/>
          <w:szCs w:val="20"/>
          <w:color w:val="auto"/>
        </w:rPr>
      </w:pPr>
    </w:p>
    <w:p>
      <w:pPr>
        <w:spacing w:after="0" w:line="376" w:lineRule="exact"/>
        <w:rPr>
          <w:sz w:val="20"/>
          <w:szCs w:val="20"/>
          <w:color w:val="auto"/>
        </w:rPr>
      </w:pPr>
    </w:p>
    <w:p>
      <w:pPr>
        <w:ind w:left="1040" w:right="460" w:hanging="516"/>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executive compensation</w:t>
      </w:r>
    </w:p>
    <w:p>
      <w:pPr>
        <w:spacing w:after="0" w:line="297" w:lineRule="exact"/>
        <w:rPr>
          <w:sz w:val="20"/>
          <w:szCs w:val="20"/>
          <w:color w:val="auto"/>
        </w:rPr>
      </w:pPr>
    </w:p>
    <w:p>
      <w:pPr>
        <w:jc w:val="both"/>
        <w:ind w:left="1040" w:hanging="516"/>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the independent registered public accounting firm</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0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0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0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w w:val="99"/>
              </w:rPr>
              <w:t>Nominees receiving the most “For”</w:t>
            </w:r>
          </w:p>
        </w:tc>
        <w:tc>
          <w:tcPr>
            <w:tcW w:w="20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w:t>
            </w:r>
          </w:p>
        </w:tc>
        <w:tc>
          <w:tcPr>
            <w:tcW w:w="2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votes; withheld votes will have no</w:t>
            </w:r>
          </w:p>
        </w:tc>
        <w:tc>
          <w:tcPr>
            <w:tcW w:w="20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effect.</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w:t>
            </w:r>
          </w:p>
        </w:tc>
        <w:tc>
          <w:tcPr>
            <w:tcW w:w="20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effect</w:t>
            </w: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majority of votes cast affirmatively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or negatively</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w:t>
            </w:r>
          </w:p>
        </w:tc>
        <w:tc>
          <w:tcPr>
            <w:tcW w:w="20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effect</w:t>
            </w: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Brokers have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majority of votes cast affirmatively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discretion to</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or negatively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 on this</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00" w:space="320"/>
            <w:col w:w="5199"/>
          </w:cols>
          <w:pgMar w:left="1440" w:top="114" w:right="1440" w:bottom="1440" w:gutter="0" w:footer="0" w:header="0"/>
          <w:type w:val="continuous"/>
        </w:sectPr>
      </w:pP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holders of at least one-third of the shares issued and outstanding and entitled to vote are present in person via the virtual online facility at the Annual Meeting or represented by proxy evidenced by a properly returned proxy card (in the case of holders of Common Stock) or CDI Voting Instruction Form (in the case of holders of CDIs). On the Record Date, there were 76,421,100 shares of Common Stock (including Common Stock underlying CDIs) issued and outstanding and entitled to vote.</w:t>
      </w:r>
    </w:p>
    <w:p>
      <w:pPr>
        <w:spacing w:after="0" w:line="7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 of the meeting or the holders of a majority of shares present at the meeting or represented by proxy may adjourn the meeting to another date and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The Board presently has nine members. There are three directors in Class III whose term of office expires in 2025. Each of the nominees listed below in this Proxy Statement is currently a director of the Company, and, as nominated by our Board of Directors and at the recommendation of our Nominating and Corporate Governance Committee, have been nominated for re-election to serve as Class III directors. If elected at the Annual Meeting, each of these nominees would serve for a term expiring at the 2028 annual meeting. Each director will hold office until his or her successor has been duly elected and qualified, or, if sooner, until the director’s death, resignation or removal. It is the Company’s policy to encourage directors and director nominees to attend the Annual Meeting. All of the directors, other than Randi Zuckerberg, attended the 2024 Annual Meeting of Stockholders.</w:t>
      </w:r>
    </w:p>
    <w:p>
      <w:pPr>
        <w:spacing w:after="0" w:line="86"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cast on the election of directors by holders of shares present at the meeting or represented by proxy.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w:t>
      </w:r>
    </w:p>
    <w:p>
      <w:pPr>
        <w:spacing w:after="0" w:line="81"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Below are the skills, competencies and attributes that our Board and our Nominating and Corporate Governance Committee consider important for our directors to have, considering our current business and future market opportunities:</w:t>
      </w:r>
    </w:p>
    <w:p>
      <w:pPr>
        <w:spacing w:after="0" w:line="64" w:lineRule="exact"/>
        <w:rPr>
          <w:sz w:val="20"/>
          <w:szCs w:val="20"/>
          <w:color w:val="auto"/>
        </w:rPr>
      </w:pPr>
    </w:p>
    <w:p>
      <w:pPr>
        <w:ind w:left="1000" w:right="379" w:hanging="348"/>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Management, Leadership &amp; Strategy</w:t>
      </w:r>
      <w:r>
        <w:rPr>
          <w:rFonts w:ascii="Times New Roman" w:cs="Times New Roman" w:eastAsia="Times New Roman" w:hAnsi="Times New Roman"/>
          <w:sz w:val="18"/>
          <w:szCs w:val="18"/>
          <w:color w:val="auto"/>
        </w:rPr>
        <w:t>: Experience and an ability to evaluate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CEO and senior executive managers and oversee strategic organizational and human resources initiatives.</w:t>
      </w:r>
    </w:p>
    <w:p>
      <w:pPr>
        <w:spacing w:after="0" w:line="62" w:lineRule="exact"/>
        <w:rPr>
          <w:rFonts w:ascii="Times New Roman" w:cs="Times New Roman" w:eastAsia="Times New Roman" w:hAnsi="Times New Roman"/>
          <w:sz w:val="18"/>
          <w:szCs w:val="18"/>
          <w:color w:val="auto"/>
        </w:rPr>
      </w:pPr>
    </w:p>
    <w:p>
      <w:pPr>
        <w:ind w:left="1000" w:right="55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Governance / Risk Management</w:t>
      </w:r>
      <w:r>
        <w:rPr>
          <w:rFonts w:ascii="Times New Roman" w:cs="Times New Roman" w:eastAsia="Times New Roman" w:hAnsi="Times New Roman"/>
          <w:sz w:val="18"/>
          <w:szCs w:val="18"/>
          <w:color w:val="auto"/>
        </w:rPr>
        <w:t>: Ability to identify, assess and monitor key risks in the company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wide range of areas.</w:t>
      </w:r>
    </w:p>
    <w:p>
      <w:pPr>
        <w:spacing w:after="0" w:line="46" w:lineRule="exact"/>
        <w:rPr>
          <w:rFonts w:ascii="Times New Roman" w:cs="Times New Roman" w:eastAsia="Times New Roman" w:hAnsi="Times New Roman"/>
          <w:sz w:val="18"/>
          <w:szCs w:val="18"/>
          <w:color w:val="auto"/>
        </w:rPr>
      </w:pPr>
    </w:p>
    <w:p>
      <w:pPr>
        <w:ind w:left="1000" w:right="679" w:hanging="348"/>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Listed Company Experience</w:t>
      </w:r>
      <w:r>
        <w:rPr>
          <w:rFonts w:ascii="Times New Roman" w:cs="Times New Roman" w:eastAsia="Times New Roman" w:hAnsi="Times New Roman"/>
          <w:sz w:val="18"/>
          <w:szCs w:val="18"/>
          <w:color w:val="auto"/>
        </w:rPr>
        <w:t>: Experience on the Board or as a senior executive for a U.S.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other than on the ASX, resulting in familiarity with the U.S. listing Rules, including the requirement for continuous disclosure.</w:t>
      </w:r>
    </w:p>
    <w:p>
      <w:pPr>
        <w:spacing w:after="0" w:line="62" w:lineRule="exact"/>
        <w:rPr>
          <w:rFonts w:ascii="Times New Roman" w:cs="Times New Roman" w:eastAsia="Times New Roman" w:hAnsi="Times New Roman"/>
          <w:sz w:val="18"/>
          <w:szCs w:val="18"/>
          <w:color w:val="auto"/>
        </w:rPr>
      </w:pPr>
    </w:p>
    <w:p>
      <w:pPr>
        <w:ind w:left="1000" w:right="35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ASX Experience</w:t>
      </w:r>
      <w:r>
        <w:rPr>
          <w:rFonts w:ascii="Times New Roman" w:cs="Times New Roman" w:eastAsia="Times New Roman" w:hAnsi="Times New Roman"/>
          <w:sz w:val="18"/>
          <w:szCs w:val="18"/>
          <w:color w:val="auto"/>
        </w:rPr>
        <w:t>: Experience on the Board or as a senior executive for an ASX Listed company,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familiarity with the ASX rules, including the requirement for continuous disclosure.</w:t>
      </w:r>
    </w:p>
    <w:p>
      <w:pPr>
        <w:spacing w:after="0" w:line="46" w:lineRule="exact"/>
        <w:rPr>
          <w:rFonts w:ascii="Times New Roman" w:cs="Times New Roman" w:eastAsia="Times New Roman" w:hAnsi="Times New Roman"/>
          <w:sz w:val="18"/>
          <w:szCs w:val="18"/>
          <w:color w:val="auto"/>
        </w:rPr>
      </w:pPr>
    </w:p>
    <w:p>
      <w:pPr>
        <w:ind w:left="1000" w:right="379" w:hanging="348"/>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Finance / Accounting</w:t>
      </w:r>
      <w:r>
        <w:rPr>
          <w:rFonts w:ascii="Times New Roman" w:cs="Times New Roman" w:eastAsia="Times New Roman" w:hAnsi="Times New Roman"/>
          <w:sz w:val="18"/>
          <w:szCs w:val="18"/>
          <w:color w:val="auto"/>
        </w:rPr>
        <w:t>: Qualification / experience in accounting and / or finance and the ability to analyze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critically assess financial statements, viability and performance; contribute to strategic financial planning and oversee budgets and funding arrangements.</w:t>
      </w:r>
    </w:p>
    <w:p>
      <w:pPr>
        <w:spacing w:after="0" w:line="62" w:lineRule="exact"/>
        <w:rPr>
          <w:rFonts w:ascii="Times New Roman" w:cs="Times New Roman" w:eastAsia="Times New Roman" w:hAnsi="Times New Roman"/>
          <w:sz w:val="18"/>
          <w:szCs w:val="18"/>
          <w:color w:val="auto"/>
        </w:rPr>
      </w:pPr>
    </w:p>
    <w:p>
      <w:pPr>
        <w:ind w:left="1000" w:right="63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w:t>
      </w:r>
      <w:r>
        <w:rPr>
          <w:rFonts w:ascii="Times New Roman" w:cs="Times New Roman" w:eastAsia="Times New Roman" w:hAnsi="Times New Roman"/>
          <w:sz w:val="18"/>
          <w:szCs w:val="18"/>
          <w:color w:val="auto"/>
        </w:rPr>
        <w:t>: Qualification / experience in law and the ability to contribute to the assessment of the legal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profile of the company.</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Marketing</w:t>
      </w:r>
      <w:r>
        <w:rPr>
          <w:rFonts w:ascii="Times New Roman" w:cs="Times New Roman" w:eastAsia="Times New Roman" w:hAnsi="Times New Roman"/>
          <w:sz w:val="18"/>
          <w:szCs w:val="18"/>
          <w:color w:val="auto"/>
        </w:rPr>
        <w:t>: Knowledge and experience in the strategic use of marketing and its inter-relationship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product.</w:t>
      </w:r>
    </w:p>
    <w:p>
      <w:pPr>
        <w:spacing w:after="0" w:line="46" w:lineRule="exact"/>
        <w:rPr>
          <w:rFonts w:ascii="Times New Roman" w:cs="Times New Roman" w:eastAsia="Times New Roman" w:hAnsi="Times New Roman"/>
          <w:sz w:val="18"/>
          <w:szCs w:val="18"/>
          <w:color w:val="auto"/>
        </w:rPr>
      </w:pPr>
    </w:p>
    <w:p>
      <w:pPr>
        <w:ind w:left="1000" w:right="67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 / Product</w:t>
      </w:r>
      <w:r>
        <w:rPr>
          <w:rFonts w:ascii="Times New Roman" w:cs="Times New Roman" w:eastAsia="Times New Roman" w:hAnsi="Times New Roman"/>
          <w:sz w:val="18"/>
          <w:szCs w:val="18"/>
          <w:color w:val="auto"/>
        </w:rPr>
        <w:t>: Knowledge and experience in the strategic use of information technology and design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particularly in relation to online businesses.</w:t>
      </w:r>
    </w:p>
    <w:p>
      <w:pPr>
        <w:spacing w:after="0" w:line="46" w:lineRule="exact"/>
        <w:rPr>
          <w:rFonts w:ascii="Times New Roman" w:cs="Times New Roman" w:eastAsia="Times New Roman" w:hAnsi="Times New Roman"/>
          <w:sz w:val="18"/>
          <w:szCs w:val="18"/>
          <w:color w:val="auto"/>
        </w:rPr>
      </w:pPr>
    </w:p>
    <w:p>
      <w:pPr>
        <w:ind w:left="1000" w:right="859" w:hanging="348"/>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Development / M&amp;A</w:t>
      </w:r>
      <w:r>
        <w:rPr>
          <w:rFonts w:ascii="Times New Roman" w:cs="Times New Roman" w:eastAsia="Times New Roman" w:hAnsi="Times New Roman"/>
          <w:sz w:val="18"/>
          <w:szCs w:val="18"/>
          <w:color w:val="auto"/>
        </w:rPr>
        <w:t>: Knowledge and experience in identifying and assessing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opportunities, in particular experience in negotiating, assessing commercial terms and completing mergers / acquisitions or disposals.</w:t>
      </w:r>
    </w:p>
    <w:p>
      <w:pPr>
        <w:spacing w:after="0" w:line="62" w:lineRule="exact"/>
        <w:rPr>
          <w:rFonts w:ascii="Times New Roman" w:cs="Times New Roman" w:eastAsia="Times New Roman" w:hAnsi="Times New Roman"/>
          <w:sz w:val="18"/>
          <w:szCs w:val="18"/>
          <w:color w:val="auto"/>
        </w:rPr>
      </w:pPr>
    </w:p>
    <w:p>
      <w:pPr>
        <w:ind w:left="1000" w:right="779" w:hanging="348"/>
        <w:spacing w:after="0" w:line="317"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Knowledge, experience and networks in the technology industry, either through direct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involvement or through the provision of services to the businesses in the early stage of development.</w:t>
      </w:r>
    </w:p>
    <w:p>
      <w:pPr>
        <w:spacing w:after="0" w:line="23" w:lineRule="exact"/>
        <w:rPr>
          <w:rFonts w:ascii="Times New Roman" w:cs="Times New Roman" w:eastAsia="Times New Roman" w:hAnsi="Times New Roman"/>
          <w:sz w:val="17"/>
          <w:szCs w:val="17"/>
          <w:color w:val="auto"/>
        </w:rPr>
      </w:pPr>
    </w:p>
    <w:p>
      <w:pPr>
        <w:ind w:left="1000" w:right="399" w:hanging="348"/>
        <w:spacing w:after="0" w:line="28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w:t>
      </w:r>
      <w:r>
        <w:rPr>
          <w:rFonts w:ascii="Times New Roman" w:cs="Times New Roman" w:eastAsia="Times New Roman" w:hAnsi="Times New Roman"/>
          <w:sz w:val="18"/>
          <w:szCs w:val="18"/>
          <w:color w:val="auto"/>
        </w:rPr>
        <w:t>: Knowledge, experience and networks in the online industry, with a keen understanding of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trends and the ability to think forward to upcoming developments including disruption.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00" w:right="1460" w:hanging="348"/>
        <w:spacing w:after="0" w:line="286" w:lineRule="auto"/>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Hardware</w:t>
      </w:r>
      <w:r>
        <w:rPr>
          <w:rFonts w:ascii="Times New Roman" w:cs="Times New Roman" w:eastAsia="Times New Roman" w:hAnsi="Times New Roman"/>
          <w:sz w:val="18"/>
          <w:szCs w:val="18"/>
          <w:color w:val="auto"/>
        </w:rPr>
        <w:t>: Knowledge, experience and networks in the hardware industry, with a keen understanding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trends and the ability to think forward to upcoming developments including disruption.</w:t>
      </w:r>
    </w:p>
    <w:p>
      <w:pPr>
        <w:spacing w:after="0" w:line="46" w:lineRule="exact"/>
        <w:rPr>
          <w:rFonts w:ascii="Times New Roman" w:cs="Times New Roman" w:eastAsia="Times New Roman" w:hAnsi="Times New Roman"/>
          <w:sz w:val="18"/>
          <w:szCs w:val="18"/>
          <w:color w:val="auto"/>
        </w:rPr>
      </w:pPr>
    </w:p>
    <w:p>
      <w:pPr>
        <w:ind w:left="2000" w:right="1340" w:hanging="348"/>
        <w:spacing w:after="0" w:line="286" w:lineRule="auto"/>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w:t>
      </w:r>
      <w:r>
        <w:rPr>
          <w:rFonts w:ascii="Times New Roman" w:cs="Times New Roman" w:eastAsia="Times New Roman" w:hAnsi="Times New Roman"/>
          <w:sz w:val="18"/>
          <w:szCs w:val="18"/>
          <w:color w:val="auto"/>
        </w:rPr>
        <w:t>: Knowledge and experience in markets outside of the U.S., with a preference for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geographical areas in which the company has active users.</w:t>
      </w:r>
    </w:p>
    <w:p>
      <w:pPr>
        <w:spacing w:after="0" w:line="46" w:lineRule="exact"/>
        <w:rPr>
          <w:rFonts w:ascii="Times New Roman" w:cs="Times New Roman" w:eastAsia="Times New Roman" w:hAnsi="Times New Roman"/>
          <w:sz w:val="18"/>
          <w:szCs w:val="18"/>
          <w:color w:val="auto"/>
        </w:rPr>
      </w:pPr>
    </w:p>
    <w:p>
      <w:pPr>
        <w:ind w:left="2000" w:right="1480" w:hanging="348"/>
        <w:spacing w:after="0" w:line="268" w:lineRule="auto"/>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People &amp; Culture</w:t>
      </w:r>
      <w:r>
        <w:rPr>
          <w:rFonts w:ascii="Times New Roman" w:cs="Times New Roman" w:eastAsia="Times New Roman" w:hAnsi="Times New Roman"/>
          <w:sz w:val="18"/>
          <w:szCs w:val="18"/>
          <w:color w:val="auto"/>
        </w:rPr>
        <w:t>: Experience in managing people, including the ability to evaluate the CEO and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performance, oversee strategic human resource management, workplace culture and the promotion of diversity and inclusion.</w:t>
      </w:r>
    </w:p>
    <w:p>
      <w:pPr>
        <w:spacing w:after="0" w:line="62" w:lineRule="exact"/>
        <w:rPr>
          <w:rFonts w:ascii="Times New Roman" w:cs="Times New Roman" w:eastAsia="Times New Roman" w:hAnsi="Times New Roman"/>
          <w:sz w:val="18"/>
          <w:szCs w:val="18"/>
          <w:color w:val="auto"/>
        </w:rPr>
      </w:pPr>
    </w:p>
    <w:p>
      <w:pPr>
        <w:ind w:left="2000" w:right="1440" w:hanging="348"/>
        <w:spacing w:after="0" w:line="286" w:lineRule="auto"/>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Remuneration</w:t>
      </w:r>
      <w:r>
        <w:rPr>
          <w:rFonts w:ascii="Times New Roman" w:cs="Times New Roman" w:eastAsia="Times New Roman" w:hAnsi="Times New Roman"/>
          <w:sz w:val="18"/>
          <w:szCs w:val="18"/>
          <w:color w:val="auto"/>
        </w:rPr>
        <w:t>: Experience in developing, setting and assessing remuneration arrangements for the 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senior executives resulting in a high-performance culture.</w:t>
      </w:r>
    </w:p>
    <w:p>
      <w:pPr>
        <w:spacing w:after="0" w:line="51" w:lineRule="exact"/>
        <w:rPr>
          <w:sz w:val="20"/>
          <w:szCs w:val="20"/>
          <w:color w:val="auto"/>
        </w:rPr>
      </w:pPr>
    </w:p>
    <w:p>
      <w:pPr>
        <w:ind w:left="1300" w:right="1660"/>
        <w:spacing w:after="0" w:line="282" w:lineRule="auto"/>
        <w:rPr>
          <w:sz w:val="20"/>
          <w:szCs w:val="20"/>
          <w:color w:val="auto"/>
        </w:rPr>
      </w:pPr>
      <w:r>
        <w:rPr>
          <w:rFonts w:ascii="Times New Roman" w:cs="Times New Roman" w:eastAsia="Times New Roman" w:hAnsi="Times New Roman"/>
          <w:sz w:val="18"/>
          <w:szCs w:val="18"/>
          <w:color w:val="auto"/>
        </w:rPr>
        <w:t>The following is a brief biography of each nominee and each director whose term will continue after the Annual Meeting.</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Expiring at the 2028 Annual Meeting</w:t>
      </w:r>
    </w:p>
    <w:p>
      <w:pPr>
        <w:spacing w:after="0" w:line="117" w:lineRule="exact"/>
        <w:rPr>
          <w:sz w:val="20"/>
          <w:szCs w:val="20"/>
          <w:color w:val="auto"/>
        </w:rPr>
      </w:pPr>
    </w:p>
    <w:p>
      <w:pPr>
        <w:ind w:left="1300" w:right="1380"/>
        <w:spacing w:after="0" w:line="259" w:lineRule="auto"/>
        <w:rPr>
          <w:sz w:val="20"/>
          <w:szCs w:val="20"/>
          <w:color w:val="auto"/>
        </w:rPr>
      </w:pPr>
      <w:r>
        <w:rPr>
          <w:rFonts w:ascii="Times New Roman" w:cs="Times New Roman" w:eastAsia="Times New Roman" w:hAnsi="Times New Roman"/>
          <w:sz w:val="18"/>
          <w:szCs w:val="18"/>
          <w:b w:val="1"/>
          <w:bCs w:val="1"/>
          <w:color w:val="auto"/>
        </w:rPr>
        <w:t>Chris Hulls</w:t>
      </w:r>
      <w:r>
        <w:rPr>
          <w:rFonts w:ascii="Times New Roman" w:cs="Times New Roman" w:eastAsia="Times New Roman" w:hAnsi="Times New Roman"/>
          <w:sz w:val="18"/>
          <w:szCs w:val="18"/>
          <w:color w:val="auto"/>
        </w:rPr>
        <w:t>, age 41, co-founded Life360 in April 2007 and has served as Life360’s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Life360’s Board since then. Mr. Hulls has been an angel investor in, or an advisor to, several 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w:t>
      </w:r>
    </w:p>
    <w:p>
      <w:pPr>
        <w:spacing w:after="0" w:line="71" w:lineRule="exact"/>
        <w:rPr>
          <w:sz w:val="20"/>
          <w:szCs w:val="20"/>
          <w:color w:val="auto"/>
        </w:rPr>
      </w:pPr>
    </w:p>
    <w:p>
      <w:pPr>
        <w:ind w:left="1300" w:right="13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Hulls has served on the Board since the Company’s formation and has remained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due to the deep institutional knowledge he brings as Co-Founder and Chief Executive Officer of the Company and his business and technology company experience, including investing in and advising technology companies.</w:t>
      </w:r>
    </w:p>
    <w:p>
      <w:pPr>
        <w:spacing w:after="0" w:line="68"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r>
      <w:tr>
        <w:trPr>
          <w:trHeight w:val="216"/>
        </w:trPr>
        <w:tc>
          <w:tcPr>
            <w:tcW w:w="5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People &amp; Culture</w:t>
            </w:r>
          </w:p>
        </w:tc>
      </w:tr>
      <w:tr>
        <w:trPr>
          <w:trHeight w:val="234"/>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bl>
    <w:p>
      <w:pPr>
        <w:spacing w:after="0" w:line="140" w:lineRule="exact"/>
        <w:rPr>
          <w:sz w:val="20"/>
          <w:szCs w:val="20"/>
          <w:color w:val="auto"/>
        </w:rPr>
      </w:pPr>
    </w:p>
    <w:p>
      <w:pPr>
        <w:ind w:left="1300" w:right="1360"/>
        <w:spacing w:after="0" w:line="254" w:lineRule="auto"/>
        <w:rPr>
          <w:sz w:val="20"/>
          <w:szCs w:val="20"/>
          <w:color w:val="auto"/>
        </w:rPr>
      </w:pPr>
      <w:r>
        <w:rPr>
          <w:rFonts w:ascii="Times New Roman" w:cs="Times New Roman" w:eastAsia="Times New Roman" w:hAnsi="Times New Roman"/>
          <w:sz w:val="18"/>
          <w:szCs w:val="18"/>
          <w:b w:val="1"/>
          <w:bCs w:val="1"/>
          <w:color w:val="auto"/>
        </w:rPr>
        <w:t>Charles “CJ” Prober</w:t>
      </w:r>
      <w:r>
        <w:rPr>
          <w:rFonts w:ascii="Times New Roman" w:cs="Times New Roman" w:eastAsia="Times New Roman" w:hAnsi="Times New Roman"/>
          <w:sz w:val="18"/>
          <w:szCs w:val="18"/>
          <w:color w:val="auto"/>
        </w:rPr>
        <w:t>, age 53, has served as a member of Life360’s Board since January 2022. Mr. Prober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Executive Officer and member of the Board of NETGEAR, Inc. since January 2024. Mr. Prober also served as Life360’s President and Chief Executive Officer of Tile from January 2022 to July 2023. Prior to this, Mr. Prober served as the Chief Executive Officer of Tile from September 2018 until its acquisition by Life360 and as a member of Tile’s Board since February 2018, including as its Executive Chairman from February 2018 to September 2018. He served as the Chief Operating Officer of GoPro, Inc. (Nasdaq: GPRO) from January 2017 to February 2018 and its Senior Vice President of Software and Services from June 2014 to December 2016.</w:t>
      </w:r>
    </w:p>
    <w:p>
      <w:pPr>
        <w:spacing w:after="0" w:line="1" w:lineRule="exact"/>
        <w:rPr>
          <w:sz w:val="20"/>
          <w:szCs w:val="20"/>
          <w:color w:val="auto"/>
        </w:rPr>
      </w:pPr>
    </w:p>
    <w:p>
      <w:pPr>
        <w:ind w:left="1300" w:right="1380"/>
        <w:spacing w:after="0" w:line="253" w:lineRule="auto"/>
        <w:rPr>
          <w:sz w:val="20"/>
          <w:szCs w:val="20"/>
          <w:color w:val="auto"/>
        </w:rPr>
      </w:pPr>
      <w:r>
        <w:rPr>
          <w:rFonts w:ascii="Times New Roman" w:cs="Times New Roman" w:eastAsia="Times New Roman" w:hAnsi="Times New Roman"/>
          <w:sz w:val="18"/>
          <w:szCs w:val="18"/>
          <w:color w:val="auto"/>
        </w:rPr>
        <w:t>Mr. Prober has also held positions at Electronic Arts Inc. (Nasdaq: EA), McKinsey &amp; Company and Wilson Sonsini Goodrich &amp; Rosati. Mr. Prober has also served as a member of the board of directors of Glorious Gaming from January 2024 to February 2025. Mr. Prober received his Bachelor of Commerce from the University of Manitoba and a Bachelor of Laws from McGill University.</w:t>
      </w:r>
    </w:p>
    <w:p>
      <w:pPr>
        <w:spacing w:after="0" w:line="77" w:lineRule="exact"/>
        <w:rPr>
          <w:sz w:val="20"/>
          <w:szCs w:val="20"/>
          <w:color w:val="auto"/>
        </w:rPr>
      </w:pPr>
    </w:p>
    <w:p>
      <w:pPr>
        <w:ind w:left="1300" w:right="14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Prober was selected to serve on the Board due to his institutional knowledge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of Tile and his expertise in the mobile app and technology industry.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5"/>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18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w:t>
            </w:r>
          </w:p>
        </w:tc>
      </w:tr>
      <w:tr>
        <w:trPr>
          <w:trHeight w:val="216"/>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People &amp; Culture</w:t>
            </w:r>
          </w:p>
        </w:tc>
      </w:tr>
      <w:tr>
        <w:trPr>
          <w:trHeight w:val="216"/>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r>
        <w:trPr>
          <w:trHeight w:val="234"/>
        </w:trPr>
        <w:tc>
          <w:tcPr>
            <w:tcW w:w="1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86"/>
        </w:trPr>
        <w:tc>
          <w:tcPr>
            <w:tcW w:w="1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96"/>
        </w:trPr>
        <w:tc>
          <w:tcPr>
            <w:tcW w:w="18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right="1360"/>
        <w:spacing w:after="0" w:line="257" w:lineRule="auto"/>
        <w:rPr>
          <w:sz w:val="20"/>
          <w:szCs w:val="20"/>
          <w:color w:val="auto"/>
        </w:rPr>
      </w:pPr>
      <w:r>
        <w:rPr>
          <w:rFonts w:ascii="Times New Roman" w:cs="Times New Roman" w:eastAsia="Times New Roman" w:hAnsi="Times New Roman"/>
          <w:sz w:val="18"/>
          <w:szCs w:val="18"/>
          <w:b w:val="1"/>
          <w:bCs w:val="1"/>
          <w:color w:val="auto"/>
        </w:rPr>
        <w:t>John Philip Coghlan</w:t>
      </w:r>
      <w:r>
        <w:rPr>
          <w:rFonts w:ascii="Times New Roman" w:cs="Times New Roman" w:eastAsia="Times New Roman" w:hAnsi="Times New Roman"/>
          <w:sz w:val="18"/>
          <w:szCs w:val="18"/>
          <w:color w:val="auto"/>
        </w:rPr>
        <w:t>, age 73, has served as a member of Life360’s Board since November 2009. In February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Coghlan co-founded the Rivet School, 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University, a Master of Arts in Economics and Public Policy from Princeton University and a Master of Business Administration from Harvard Business School.</w:t>
      </w:r>
    </w:p>
    <w:p>
      <w:pPr>
        <w:spacing w:after="0" w:line="74" w:lineRule="exact"/>
        <w:rPr>
          <w:sz w:val="20"/>
          <w:szCs w:val="20"/>
          <w:color w:val="auto"/>
        </w:rPr>
      </w:pPr>
    </w:p>
    <w:p>
      <w:pPr>
        <w:ind w:left="1300" w:right="19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Coghlan was selected to serve on the Board due to his experience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and board member of multiple large companies.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5"/>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18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People &amp; Culture</w:t>
            </w:r>
          </w:p>
        </w:tc>
      </w:tr>
      <w:tr>
        <w:trPr>
          <w:trHeight w:val="216"/>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r>
        <w:trPr>
          <w:trHeight w:val="234"/>
        </w:trPr>
        <w:tc>
          <w:tcPr>
            <w:tcW w:w="1820" w:type="dxa"/>
            <w:vAlign w:val="bottom"/>
          </w:tcPr>
          <w:p>
            <w:pPr>
              <w:ind w:left="16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86"/>
        </w:trPr>
        <w:tc>
          <w:tcPr>
            <w:tcW w:w="1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96"/>
        </w:trPr>
        <w:tc>
          <w:tcPr>
            <w:tcW w:w="18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IN FAVOR OF EACH NAMED NOMINEE.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2026 Annual Meeting</w:t>
      </w:r>
    </w:p>
    <w:p>
      <w:pPr>
        <w:spacing w:after="0" w:line="117"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b w:val="1"/>
          <w:bCs w:val="1"/>
          <w:color w:val="auto"/>
        </w:rPr>
        <w:t>Mark Goines</w:t>
      </w:r>
      <w:r>
        <w:rPr>
          <w:rFonts w:ascii="Times New Roman" w:cs="Times New Roman" w:eastAsia="Times New Roman" w:hAnsi="Times New Roman"/>
          <w:sz w:val="18"/>
          <w:szCs w:val="18"/>
          <w:color w:val="auto"/>
        </w:rPr>
        <w:t>, age 71, has served as a member of Life360’s Board since April 2019. Mr. Goines served as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Personal Capital Corporation from June 2016 to September 2020 and as its Chief Marketing Officer and Chief Strategy Officer from January 2012 to September 2020. He currently serves on the boards of several private technology and app building companies, including BillFloat, Inc., Odeko, LLC, Ascend Credit, Inc., Candex Solutions Inc., Human Interest, Inc., Chocolate Holdings LLC and Bloom Credit Inc. Mr. Goines earned his Bachelor of Science and Master of Business Administration from the University of California, Berkeley.</w:t>
      </w:r>
    </w:p>
    <w:p>
      <w:pPr>
        <w:spacing w:after="0" w:line="74"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Goines was selected to serve on the Board due to his executive experience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expertise gained from serving on the boards of multiple growth focused technology and app-building companies.</w:t>
      </w:r>
    </w:p>
    <w:p>
      <w:pPr>
        <w:spacing w:after="0" w:line="9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People &amp; Culture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r>
        <w:trPr>
          <w:trHeight w:val="234"/>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40"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b w:val="1"/>
          <w:bCs w:val="1"/>
          <w:color w:val="auto"/>
        </w:rPr>
        <w:t>Alex Haro</w:t>
      </w:r>
      <w:r>
        <w:rPr>
          <w:rFonts w:ascii="Times New Roman" w:cs="Times New Roman" w:eastAsia="Times New Roman" w:hAnsi="Times New Roman"/>
          <w:sz w:val="18"/>
          <w:szCs w:val="18"/>
          <w:color w:val="auto"/>
        </w:rPr>
        <w:t>, age 39, co-founded Life360, has served as a member of Life360’s Board since August 2008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Life360’s President from June 2014 to January 2020 and Chief Technology Officer from August 2008 to December 2020. Since October 2021, he has served as the executive chairman and Chief Executive Officer for Hubble Network Inc. In January 2020, Mr. Haro co-founded and currently serves as the Chief Technology Officer and board member of MyMoneyKarma Infomatics India Private Limited. In 2015, Mr. Haro was recognized by Forbes 30 Under 30 in Consumer Technology. Prior to Life360, he worked on Orbited. Mr. Haro studied Computer Science at Pomona College.</w:t>
      </w:r>
    </w:p>
    <w:p>
      <w:pPr>
        <w:spacing w:after="0" w:line="75"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Haro was selected to serve on the Board due to his institutional knowledge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Co-Founder and former Chief Technology Officer, as well as his extensive technology industry experience.</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People &amp; Culture</w:t>
            </w:r>
          </w:p>
        </w:tc>
      </w:tr>
      <w:tr>
        <w:trPr>
          <w:trHeight w:val="234"/>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bl>
    <w:p>
      <w:pPr>
        <w:spacing w:after="0" w:line="14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b w:val="1"/>
          <w:bCs w:val="1"/>
          <w:color w:val="auto"/>
        </w:rPr>
        <w:t>Randi Zuckerberg</w:t>
      </w:r>
      <w:r>
        <w:rPr>
          <w:rFonts w:ascii="Times New Roman" w:cs="Times New Roman" w:eastAsia="Times New Roman" w:hAnsi="Times New Roman"/>
          <w:sz w:val="18"/>
          <w:szCs w:val="18"/>
          <w:color w:val="auto"/>
        </w:rPr>
        <w:t>, age 43, has served as a member of Life360’s Board since January 2021. Ms. Zuckerberg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worked with more than 20 early and mid-stage companies as an investor and advisor. She serves as a member of the boards of several companies including Life360 and The Motley Fool, LLC. She previously served as a member of the boards of Athena Technology Acquisition Corp. II (NYSE: ATEK), a special purpose acquisition company from 2021 to 2024 and Go Noodle, Inc. from 2020 to 2023. Additionally, she has previously served as a strategic advisor to Open Deal Portal LLC (d/b/a, Republic) and OkCoin, Inc.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three Tony awards, a Drama Desk Award, and a Kidscreen Award. Prior to founding her own company, Ms. Zuckerberg was an early employee at Facebook, where she created Facebook Live. She holds a Bachelor of Arts in Psychology from Harvard University.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Ms. Zuckerberg was selected to serve on the Board due to her extensive background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investing in and advising technology and public companies.</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4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4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4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4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People &amp; Culture</w:t>
            </w:r>
          </w:p>
        </w:tc>
      </w:tr>
      <w:tr>
        <w:trPr>
          <w:trHeight w:val="234"/>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4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2027 Annual Meeting</w:t>
      </w:r>
    </w:p>
    <w:p>
      <w:pPr>
        <w:spacing w:after="0" w:line="117"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b w:val="1"/>
          <w:bCs w:val="1"/>
          <w:color w:val="auto"/>
        </w:rPr>
        <w:t>Brittany Morin</w:t>
      </w:r>
      <w:r>
        <w:rPr>
          <w:rFonts w:ascii="Times New Roman" w:cs="Times New Roman" w:eastAsia="Times New Roman" w:hAnsi="Times New Roman"/>
          <w:sz w:val="17"/>
          <w:szCs w:val="17"/>
          <w:color w:val="auto"/>
        </w:rPr>
        <w:t>, age 39, has served as a member of Life360’s Board since January 2018. Ms. Morin founded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Offline Ventures, an early stage venture fund with $250M+ AUM, in March 2020 and is the managing director. She is also the founder, Chief Executive Officer and board member of Brit Media, Inc., a digital media and commerce brand, founded in 2011. She also previously served on the board of Girl Scouts of America and worked at Google LLC (Nasdaq: GOOG)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w:t>
      </w:r>
    </w:p>
    <w:p>
      <w:pPr>
        <w:spacing w:after="0" w:line="63"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Ms. Morin was selected to serve on the Board due to her entrepreneurial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starting and leading venture capital and consumer internet companies.</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People &amp; Culture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r>
        <w:trPr>
          <w:trHeight w:val="234"/>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40"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James Synge</w:t>
      </w:r>
      <w:r>
        <w:rPr>
          <w:rFonts w:ascii="Times New Roman" w:cs="Times New Roman" w:eastAsia="Times New Roman" w:hAnsi="Times New Roman"/>
          <w:sz w:val="18"/>
          <w:szCs w:val="18"/>
          <w:color w:val="auto"/>
        </w:rPr>
        <w:t>, age 57, has served as a member of Life360’s Board since May 2019 and started as an early investor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2008. Mr. Synge has also served as 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w:t>
      </w:r>
    </w:p>
    <w:p>
      <w:pPr>
        <w:spacing w:after="0" w:line="71"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Synge was selected to serve on the Board due to his venture capital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extensive financial industry knowledge.</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r>
      <w:tr>
        <w:trPr>
          <w:trHeight w:val="216"/>
        </w:trPr>
        <w:tc>
          <w:tcPr>
            <w:tcW w:w="5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Remuneration</w:t>
            </w:r>
          </w:p>
        </w:tc>
      </w:tr>
      <w:tr>
        <w:trPr>
          <w:trHeight w:val="234"/>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40"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color w:val="auto"/>
        </w:rPr>
        <w:t>David Wiadrowski</w:t>
      </w:r>
      <w:r>
        <w:rPr>
          <w:rFonts w:ascii="Times New Roman" w:cs="Times New Roman" w:eastAsia="Times New Roman" w:hAnsi="Times New Roman"/>
          <w:sz w:val="18"/>
          <w:szCs w:val="18"/>
          <w:color w:val="auto"/>
        </w:rPr>
        <w:t>, age 65, has served as a member of Life360’s Board since March 2019. Mr. Wiadrowski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Director and Chief Financial Officer of ELEVACAO Foundation, Inc., an Australian non-profit committed to empowering women entrepreneurs, from July 2016 to July 2017, and prior thereto served in various positions at PricewaterhouseCoopers Australia over a 37 year period, including as Partner and Chief Operating Officer. He currently also serves on the boards of three other Australian listed companies including: oOh! Media Limited (ASX: OML), Car Group Limited (ASX: CAR) and IPH Limited (ASX: IPH), and on the board of a private company, the Cambodian Children’s Fund Australia Limited. He holds a Bachelor of Commerce from the University of New South Wales, is a Fellow of the Chartered Accountants of Australia and New Zealand and is a graduate of the Australian Institute of Company Directors.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Key Skills and Qualifications</w:t>
      </w:r>
      <w:r>
        <w:rPr>
          <w:rFonts w:ascii="Times New Roman" w:cs="Times New Roman" w:eastAsia="Times New Roman" w:hAnsi="Times New Roman"/>
          <w:sz w:val="18"/>
          <w:szCs w:val="18"/>
          <w:color w:val="auto"/>
        </w:rPr>
        <w:t>: Mr. Wiadrowski was selected to serve on the Board due to his financial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and experience serving on the boards of several Australian public companies.</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5"/>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 Accounting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r>
      <w:tr>
        <w:trPr>
          <w:trHeight w:val="216"/>
        </w:trPr>
        <w:tc>
          <w:tcPr>
            <w:tcW w:w="5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Leadership &amp; Strategy</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Online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Governance / Risk Management</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Listed Company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 / M&amp;A</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79"/>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ASX Experience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 / Product</w:t>
            </w: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People &amp; Culture</w:t>
            </w:r>
          </w:p>
        </w:tc>
      </w:tr>
      <w:tr>
        <w:trPr>
          <w:trHeight w:val="234"/>
        </w:trPr>
        <w:tc>
          <w:tcPr>
            <w:tcW w:w="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1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r>
    </w:tbl>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recognizes that a variety of personal backgrounds, perspectives and experiences is essential to proper functioning of our Board and that the judgments and viewpoints offered by a diverse board of directors improves the quality of decision-making and enhances board performance. Of our total nine directors, we have two directors who are female, one male director that identifies as Hispanic and one male director that identifies as Asian.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We have assessed the independence of our directors with respect to the definitions of independence prescribed by each of the Nasdaq Stock Market (“Nasdaq”) and the SEC, and our Corporate Governance Guidelines (“Guidelines”). Our Guidelines are available to stockholders on the Company’s website at investors.life360.com.</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Nasdaq independence standards and for the purposes of our Guidelines: Messrs. Coghlan, Synge, Goines and Wiadrowski and Mses. Morin and Zuckerberg. In making this determination, the Board found that none of these directors or director nominees had a material or other disqualifying relationship with the Company. The Board determined that Mr. Hulls is not independent because he is a co-founder of the Company and serves as its Chief Executive Officer. The Board determined that Mr. Haro is not independent because he is a co-founder of the Company. The Board determined that Mr. Prober is not independent because he served as the President of the Company until July 2023. In making this determination, the Board additionally considered the transaction discussed in the section titled “</w:t>
      </w:r>
      <w:r>
        <w:rPr>
          <w:rFonts w:ascii="Times New Roman" w:cs="Times New Roman" w:eastAsia="Times New Roman" w:hAnsi="Times New Roman"/>
          <w:sz w:val="18"/>
          <w:szCs w:val="18"/>
          <w:i w:val="1"/>
          <w:iCs w:val="1"/>
          <w:color w:val="auto"/>
        </w:rPr>
        <w:t>Certain Related Person Transactions</w:t>
      </w:r>
      <w:r>
        <w:rPr>
          <w:rFonts w:ascii="Times New Roman" w:cs="Times New Roman" w:eastAsia="Times New Roman" w:hAnsi="Times New Roman"/>
          <w:sz w:val="18"/>
          <w:szCs w:val="18"/>
          <w:color w:val="auto"/>
        </w:rPr>
        <w:t>” in this Proxy Statement and that each of John Philip Coghlan, Chris Hulls, Brittany Morin, James Synge and Randi Zuckerberg have direct or indirect immaterial economic interests in Hubble Network, Inc.</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Board of the Company has an independent chair (the “Board Chair”), Mr. Coghlan, who has authority, among other things, to call and preside over meetings of the Board, including executive sessions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versight</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is responsible for assessing major risks facing the Company and considering ways to address those risks and overseeing the establishment and maintenance of processes and conditions to manage these risks and maintain the integrity of the Company. A key component of our risk management framework is the regular review of key risks and opportunities by our leadership team. An assessment of areas of potential risks to the business, estimated likelihoods and mitigation strategies is performed annually. Identified risks are included in a risk register, the key risk categories of which include cybersecurity, brand, business continuity, talent and financial risks. The Board oversees risk management directly and through its committees. It is the responsibility of the committee chairs to report findings regarding material risk exposures to the Board as quickly as possible. The Board has delegated to the Audit Committee the responsibility of coordinating between the Board and management the implementation of responses to any problematic risk management issues.</w:t>
      </w:r>
    </w:p>
    <w:p>
      <w:pPr>
        <w:spacing w:after="0" w:line="8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Audit Committee oversees the Company’s corporate accounting and financial reporting, including auditing of the Company’s financial statements and the qualification, independence, performance and terms of engagement of the Company’s independent auditor. The Audit Committee is also responsible for monitoring and advising the Board on risk management policies and procedures and risk assessment. The Audit Committee has the responsibility to consider and discuss with management and, as appropriate, the independent auditor, risk assessment and risk management, including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including compliance with ethical standards adopted by the Company, in addition to oversight of the performance of our internal audit function.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risks arising from the Company’s compensation policies and practices for all employees, including non-executive officers, that are reasonably likely to have a material adverse effect on the Company.</w:t>
      </w:r>
    </w:p>
    <w:p>
      <w:pPr>
        <w:spacing w:after="0" w:line="68"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overseeing the Company’s environmental, social and governance (“ESG”) strategy, targets, policies, performance and reporting. The Nominating and Corporate Governance Committee periodically reviews and discusses with management practices with respect to ESG matters that are expected to have significant long and short-term impacts on the Company’s performance, business activities or reputation.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Cybersecurity Risk</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Board is responsible for monitoring and assessing strategic risk exposure and the mitigation and remediation of cybersecurity incidents, and oversees cybersecurity risk management functions as a whole, as well as through the Audit Committee. The Company maintains a cybersecurity risk register which is reviewed regularly and updated as appropriate. The Company hired a Chief Information Security Officer (“CISO”) during fiscal year 2024, and the corporate security team, led by our CISO, informs the Board and the Audit Committee of certain cybersecurity risks and threats during quarterly meetings and provides materials shared in connection with such meetings, as well as ad hoc updates when there are material developments or changes that may impact cybersecurity risk to the Company. Our cybersecurity incident response procedures are designed to escalate certain cybersecurity incidents to our executive officers and the Board as appropriate. In addition to the cybersecurity incident response procedures we have in place, we also maintain cybersecurity insurance to cover certain losses and damages caused by cybersecurity incidents. See Item 1C. “Cybersecurity” in our Annual Report on Form 10-K for more information related to our cybersecurity risk management and strategy.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The Board met fourteen times during the last fiscal year. Each Board member attended at least 85% or more of the aggregate number of meetings of the Board and of the committees on which they served, held during the portion of the last fiscal year for which they were a director or committee member.</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Corporate Governance Committee. In 2024 and in connection with the Company’s initial public offering (the “U.S. IPO”), the Board restructured its committee composition, (i) separating the Remuneration and Nomination Committee into the Compensation Committee and the Nominating and Corporate Governance Committee,</w:t>
      </w:r>
    </w:p>
    <w:p>
      <w:pPr>
        <w:spacing w:after="0" w:line="3" w:lineRule="exact"/>
        <w:rPr>
          <w:sz w:val="20"/>
          <w:szCs w:val="20"/>
          <w:color w:val="auto"/>
        </w:rPr>
      </w:pPr>
    </w:p>
    <w:p>
      <w:pPr>
        <w:ind w:left="300" w:right="539" w:hanging="8"/>
        <w:spacing w:after="0" w:line="255" w:lineRule="auto"/>
        <w:tabs>
          <w:tab w:leader="none" w:pos="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committee name change for the previously named Audit and Risk Management Committee to the Audit Committee, and (iii) putting into effect new committee charters for each committee, effective June 7, 2024.</w:t>
      </w:r>
    </w:p>
    <w:p>
      <w:pPr>
        <w:spacing w:after="0" w:line="78" w:lineRule="exact"/>
        <w:rPr>
          <w:sz w:val="20"/>
          <w:szCs w:val="20"/>
          <w:color w:val="auto"/>
        </w:rPr>
      </w:pPr>
    </w:p>
    <w:p>
      <w:pPr>
        <w:ind w:left="300" w:right="1219"/>
        <w:spacing w:after="0" w:line="282"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fiscal 2024 for each of the Board committees: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66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6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John Philip Coghlan</w:t>
            </w:r>
          </w:p>
        </w:tc>
        <w:tc>
          <w:tcPr>
            <w:tcW w:w="6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6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6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Mark Goines</w:t>
            </w: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6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6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James Synge</w:t>
            </w:r>
          </w:p>
        </w:tc>
        <w:tc>
          <w:tcPr>
            <w:tcW w:w="6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6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12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Meetings in Fiscal 2024</w:t>
            </w:r>
          </w:p>
        </w:tc>
        <w:tc>
          <w:tcPr>
            <w:tcW w:w="12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3</w:t>
            </w:r>
          </w:p>
        </w:tc>
        <w:tc>
          <w:tcPr>
            <w:tcW w:w="23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Zuckerberg resigned from the Audit Committee in January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Each of the committees has authority to retain and terminate counsel or any outside advisors it deems necessary to perform its duties and oversight responsibilities. The Board has determined that each member of each committee is independent with respect to the definitions of independence prescribed by each of the Nasdaq, the SEC and our Guidelines, and each member is free of any relationship that would impair his or her individual exercise of independent judgment with regard to the Company. Each member of our Audit Committee and Compensation Committee satisfies the additional independence standards applicable to directors serving on such committee under the Nasdaq Listing Rules and SEC rules.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to oversee the Company’s corporate accounting and financial reporting processes and audits of its financial statements.</w:t>
      </w:r>
    </w:p>
    <w:p>
      <w:pPr>
        <w:spacing w:after="0" w:line="5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Audit Committee is composed of three directors: Mr. Coghlan, Mr. Synge, and Mr. Wiadrowski. The Audit Committee met six times during the last fiscal year. The Board has adopted a written Audit Committee charter that is available to stockholders on the Company’s website at investors.life360.com. The charter of the Audit Committee permits the Audit Committee to, as it deems appropriate, delegate all or a portion of its duties and responsibilities to a subcommittee.</w:t>
      </w:r>
    </w:p>
    <w:p>
      <w:pPr>
        <w:spacing w:after="0" w:line="75"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The Audit Committee provides assistance to the Board in fulfilling the Audit Committee’s responsibilities and duties, including with respect to:</w:t>
      </w:r>
    </w:p>
    <w:p>
      <w:pPr>
        <w:spacing w:after="0" w:line="54" w:lineRule="exact"/>
        <w:rPr>
          <w:sz w:val="20"/>
          <w:szCs w:val="20"/>
          <w:color w:val="auto"/>
        </w:rPr>
      </w:pPr>
    </w:p>
    <w:p>
      <w:pPr>
        <w:ind w:left="1000" w:right="3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accounting and financial reporting processes, systems of internal control over financial reporting and audits of financial statements, including the quality and integrity of the Company’s financial statements and reports;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the independent registered public accounting firm or firms engaged as the Company’s independent auditors for the purpose of preparing or issuing an audit report or performing other audit, review or attest services;</w:t>
      </w:r>
    </w:p>
    <w:p>
      <w:pPr>
        <w:spacing w:after="0" w:line="67" w:lineRule="exact"/>
        <w:rPr>
          <w:rFonts w:ascii="Times New Roman" w:cs="Times New Roman" w:eastAsia="Times New Roman" w:hAnsi="Times New Roman"/>
          <w:sz w:val="18"/>
          <w:szCs w:val="18"/>
          <w:color w:val="auto"/>
        </w:rPr>
      </w:pPr>
    </w:p>
    <w:p>
      <w:pPr>
        <w:ind w:left="1000" w:right="10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or terminating the engagement of the Company’s existing independent registered public accounting firm and approving any engagements of audit and non-audit work performed by the independent registered public accounting firm;</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the Company’s annual proxy statement;</w:t>
      </w:r>
    </w:p>
    <w:p>
      <w:pPr>
        <w:spacing w:after="0" w:line="53" w:lineRule="exact"/>
        <w:rPr>
          <w:rFonts w:ascii="Times New Roman" w:cs="Times New Roman" w:eastAsia="Times New Roman" w:hAnsi="Times New Roman"/>
          <w:sz w:val="18"/>
          <w:szCs w:val="18"/>
          <w:color w:val="auto"/>
        </w:rPr>
      </w:pPr>
    </w:p>
    <w:p>
      <w:pPr>
        <w:ind w:left="1000" w:right="7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compliance with the Company’s programs and policies designed to ensure adherence to applicable laws, as well as to the Company’s Code of Business Conduct and Ethics (the “Code of Conduct”);</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the Company’s risk management, risk assessment and risk exposures with respect to financial, accounting, operational, tax, privacy and cybersecurity and information technology risks;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the Company’s Related Persons Transactions Policy (as described below in at “Transactions with Related Persons and Indemnification — Related Person Transactions Policy and procedures”).</w:t>
      </w:r>
    </w:p>
    <w:p>
      <w:pPr>
        <w:spacing w:after="0" w:line="3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r>
        <w:rPr>
          <w:rFonts w:ascii="Times New Roman" w:cs="Times New Roman" w:eastAsia="Times New Roman" w:hAnsi="Times New Roman"/>
          <w:sz w:val="29"/>
          <w:szCs w:val="29"/>
          <w:b w:val="1"/>
          <w:bCs w:val="1"/>
          <w:color w:val="auto"/>
          <w:vertAlign w:val="superscript"/>
        </w:rPr>
        <w:t>*</w:t>
      </w:r>
    </w:p>
    <w:p>
      <w:pPr>
        <w:spacing w:after="0" w:line="51" w:lineRule="exact"/>
        <w:rPr>
          <w:sz w:val="20"/>
          <w:szCs w:val="20"/>
          <w:color w:val="auto"/>
        </w:rPr>
      </w:pPr>
    </w:p>
    <w:p>
      <w:pPr>
        <w:ind w:left="300" w:right="499"/>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2024.</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David Wiadrowski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John Philip Coghlan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James Synge</w:t>
      </w:r>
    </w:p>
    <w:p>
      <w:pPr>
        <w:spacing w:after="0" w:line="99" w:lineRule="exact"/>
        <w:rPr>
          <w:sz w:val="20"/>
          <w:szCs w:val="20"/>
          <w:color w:val="auto"/>
        </w:rPr>
      </w:pPr>
    </w:p>
    <w:p>
      <w:pPr>
        <w:ind w:left="660" w:right="419" w:hanging="8"/>
        <w:spacing w:after="0" w:line="289" w:lineRule="auto"/>
        <w:tabs>
          <w:tab w:leader="none" w:pos="7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in this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The Compensation Committee is composed of three directors: Mr. Coghlan, Mr. Goines and Ms. Morin. The Compensation Committee met one time and the former Remuneration and Nomination Committee met two times during the 2024 fiscal year.</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Compensation Committee has adopted a written charter that is available to stockholders on the Company’s website at investors.life360.com. The charter of the Compensation Committee permits the Compensation Committee to, as it deems appropriate, delegate all or a portion of its duties and responsibilities to a subcommittee. The charter additionally allows the Compensation Committee, as it deems appropriate, to delegate to one or more officers or other employees of the Company the authority to grant, amend and/or administer awards of cash or options or other equity securities to any employees or other service providers of the Company who are not executive officers (as defined in the charter) of the Company under the Company’s incentive-compensation or other equity-based plans. Any such delegation must be made in accordance with the terms of the relevant plan, the Company’s bylaws and applicable state law.</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acts on behalf of the Board to review, recommend for adoption and oversee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compensation strategy, policies, plans and programs, including, but not limited to:</w:t>
      </w:r>
    </w:p>
    <w:p>
      <w:pPr>
        <w:spacing w:after="0" w:line="99" w:lineRule="exact"/>
        <w:rPr>
          <w:sz w:val="20"/>
          <w:szCs w:val="20"/>
          <w:color w:val="auto"/>
        </w:rPr>
      </w:pPr>
    </w:p>
    <w:p>
      <w:pPr>
        <w:ind w:left="1000" w:right="65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overall compensation practices and objectives, and assess whether the Company’s compensation practices establish appropriate incentives in light of the Company’s specific business objectives;</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approval, corporate goals and objectives relevant to the CEO’s compensation and evaluating the CEO’s performance in light of those goals and objectives and either determining, approving, or recommending to the Board for approval, the CEO’s compensation level based on this evaluation;</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full Board for approval, corporate goals and objectives relevant to executive officers other than the CEO and reviewing, approving, or recommending to the Board for approval, their compensation;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policies and agreements providing perquisites for directors, executive officers or other senior management (provided that any perquisites for non-executive officer members of the Board must be recommended to the full Board);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list of companies to be included in any compensation peer group used to determine pay levels;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full Board for approval, any employment or post-employment agreement or arrangement (including severance and change in control benefits) applicable to executive officers and other employees;</w:t>
      </w:r>
    </w:p>
    <w:p>
      <w:pPr>
        <w:spacing w:after="0" w:line="67" w:lineRule="exact"/>
        <w:rPr>
          <w:rFonts w:ascii="Times New Roman" w:cs="Times New Roman" w:eastAsia="Times New Roman" w:hAnsi="Times New Roman"/>
          <w:sz w:val="18"/>
          <w:szCs w:val="18"/>
          <w:color w:val="auto"/>
        </w:rPr>
      </w:pPr>
    </w:p>
    <w:p>
      <w:pPr>
        <w:ind w:left="1000" w:right="1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full Board for approval, the form and amount of director compensation;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39" w:hanging="348"/>
        <w:spacing w:after="0" w:line="289"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the full Board for approval, the establishment or modification of equity-based compensation plans, as well as any other incentive compensation plans; and retirement and profit-sharing plans, severance plans, deferred compensation plans, or similar programs;</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incentive compensation, equity-based and other benefit plans;</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9"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the full Board for approval, all equity-based awards, including pursuant to the Company’s equity-based plans and subject to the ability of the Compensation Committee to delegate authority pursuant to its charter and the terms of the applicable plans;</w:t>
      </w:r>
    </w:p>
    <w:p>
      <w:pPr>
        <w:spacing w:after="0" w:line="49" w:lineRule="exact"/>
        <w:rPr>
          <w:rFonts w:ascii="Times New Roman" w:cs="Times New Roman" w:eastAsia="Times New Roman" w:hAnsi="Times New Roman"/>
          <w:sz w:val="17"/>
          <w:szCs w:val="17"/>
          <w:color w:val="auto"/>
        </w:rPr>
      </w:pPr>
    </w:p>
    <w:p>
      <w:pPr>
        <w:ind w:left="1000" w:right="5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Company’s Compensation Discussion and Analysis (the “CD&amp;A”) to be included in the Company’s annual proxy statement;</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the Compensation Committee to be included in the Company’s annual proxy statement or annual report on Form 10-K;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regulatory compliance with respect to compensation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approving, modifying and overseeing the Company’s compensation clawback policy;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and the Company’s executive officers plans for executive officer development and succession strategy and plans for the CEO and other executive officers.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Typically, the Compensation Committee meets at least three times annually and with greater frequency if necessary. The agenda for each meeting is usually developed by the Chair of the Compensation Committee, in consultation with the Chief People Officer and Compensia, Inc., the Company’s independent compensation consultant (“Compensia”).</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the authority to obtain, at the expense of the Company, advice and assistance from compensation consultants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that bear upon the adviser’s independence; however, there is no requirement that any adviser be independent.</w:t>
      </w:r>
    </w:p>
    <w:p>
      <w:pPr>
        <w:spacing w:after="0" w:line="86" w:lineRule="exact"/>
        <w:rPr>
          <w:sz w:val="20"/>
          <w:szCs w:val="20"/>
          <w:color w:val="auto"/>
        </w:rPr>
      </w:pPr>
    </w:p>
    <w:p>
      <w:pPr>
        <w:ind w:left="300" w:right="439"/>
        <w:spacing w:after="0" w:line="284" w:lineRule="auto"/>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Compensation Discuss and Analysis—How We Determine Compensation—Role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in this Proxy Statement.</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None of the members of the Compensation Committee was, at any time during fiscal year 2024 or at any other time, one of our officers or employees, and no member of the Compensation Committee had any relationships with us that are required to be disclosed under Item 404 of Regulation S-K. During fiscal year 2024, none of our executive officers served as a member of the board of directors, or as a member of the compensation or similar committee, of any entity that has one or more executive officers who served on our Board or Compensation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three directors: Mr. Coghlan, Mr. Goines and Ms. Morin. The Nominating and Corporate Governance Committee met one time and the former Remuneration and Nomination Committee met two times during the 2024 fiscal year.</w:t>
      </w:r>
    </w:p>
    <w:p>
      <w:pPr>
        <w:spacing w:after="0" w:line="68"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has adopted a written charter that is available to stockholders on the Company’s website at investors.life360.com. The charter of the Nominating and Corporate Governance Committee permits the Nominating and Corporate Governance Committee to, as it deems appropriate, delegate all or a portion of its duties and responsibilities to a subcommittee.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Committee’s primary purpose and responsibilities are:</w:t>
      </w:r>
    </w:p>
    <w:p>
      <w:pPr>
        <w:spacing w:after="0" w:line="117" w:lineRule="exact"/>
        <w:rPr>
          <w:sz w:val="20"/>
          <w:szCs w:val="20"/>
          <w:color w:val="auto"/>
        </w:rPr>
      </w:pPr>
    </w:p>
    <w:p>
      <w:pPr>
        <w:ind w:left="1000" w:right="39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as directors of the Company (consistent with criteria approved by the Board), reviewing and evaluating incumbent directors, recommending candidates to the Board for appointment, election or reelection to the Board;</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membership of the committees of the Board, and assessing the performance of the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evaluations of the Board, its committees, and Board members;</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adoption the Company’s Guidelines, periodically reviewing and recommending changes to the Guidelines as appropriate and monitoring compliance with such guidelines;</w:t>
      </w:r>
    </w:p>
    <w:p>
      <w:pPr>
        <w:spacing w:after="0" w:line="6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stockholder proposals submitted for inclusion in the Company’s proxy statement and recommending to the Board any statements by the Company in response, and considering stockholder nominees for election to the Board at the Company’s annual meeting of stockholders; and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corporate culture and strategies and overseeing the Company’s Environmental, Social and Governance (ESG) strategy, targets, policies, performance and reporting.</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Board of Directors Nominations</w:t>
      </w:r>
    </w:p>
    <w:p>
      <w:pPr>
        <w:spacing w:after="0" w:line="11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reviewing and evaluating candidates to serve as directors of the Company. The Nominating and Corporate Governance Committee, consistent with the criteria approved by the Board, believes that candidates for director should have certain minimum qualifications, including the ability to read and understand basic financial statements and having high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experience as a board member or executive officer of another publicly held company and having the commitment to rigorously represent the long-term interests of the Company’s stockholders.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8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a director’s overall service to the Company during their terms, including the number of meetings attended, level of participation, quality of performance and any other relationships and transactions that might impair the director’s independence.</w:t>
      </w:r>
    </w:p>
    <w:p>
      <w:pPr>
        <w:spacing w:after="0" w:line="7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also takes into account the results of the Board’s self-evaluation, conducted at least annually with the advice and assistance of the Nominating and Corporate Governance Committee, to review and evaluate the performance of the Board, each board committee, and each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individual director against the relevant charters, corporate governance policies, and agreed goals and objectives.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65"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It is the policy of the Nominating and Corporate Governance Committee to consider stockholder nominees who are nominated in accordance with the procedures given above (at “When are stockholder proposals and director nominations due for the 2026 annual meeting of stockholders”) consistent with the criteria approved by the Board and on the same basis as other nominees from other sources.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Stockholders are encouraged to submit questions or requests for information directly to the Company via the Company’s website at investors.life360.com in accordance with the Company’s Stockholder’s Communications Policy. Every effort is made to ensure that the views of stockholders are heard by the Board or individual directors, as applicable, and that appropriate responses are provided to stockholders in a timely manner. Our General Counsel will review stockholder communications and, if appropriate, route them to the appropriate director(s) or, if none is specified, to the Chairperson of the Nominating and Corporate Governance Committee of the Board. We reserve the right not to forward to Directors any abusive, threatening or otherwise inappropriate materials.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ngagement</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Company engages with stockholders throughout the year through regular investor meetings and stockholder outreach sessions. The Company also solicits and receives feedback with respect to a broad range of topics of interest to our stockholders. Additional stockholder and investor outreach includes analyst meetings and investor conferences. We also hold investor conference calls for our quarterly earnings releases where participants are able to ask questions, which are available in real time by audio conference and are archived on our Investor Relations website at investors.life360.com.</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onduct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Conduct that applies to all officers, directors, employees, contractors, consultants, and authorized representatives. The Code of Conduct, and any amendments or grants of waivers thereto, is available on the Company’s website at investors.life360.com. If the Company makes any substantive amendments to the Code of Conduct or grants any waiver from a provision of the Code of Conduct to any executive officer or director, the Company will promptly disclose the amendment or waiver on its website.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uidelines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Board has established the Company’s Guidelines, and the Nominating and Corporate Governance Committee is responsible for reviewing our Guidelines periodically and recommending changes, and overseeing and monitoring compliance with the Guidelines. The Guidelines address, among other things, the composition and role of the Board, director independence standards, director orientation and education, and additional matters such as CEO evaluations and officer succession planning. Our Guidelines are available to stockholders on the Company’s website at investors.life360.com.</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lawback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Company has adopted the Life360, Inc. Incentive Compensation Recoupment Policy, in accordance with SEC rules and Nasdaq listing standards. The policy provides for the recoupment of incentive compensation received by certain current and former executive officers, including our named executive officers, in certain circumstances where there has been a restatement of the Company’s financial statements. A copy of the policy is filed with the Company’s Annual Report on Form 10-K as Exhibit 97.1.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have insider trading policies and procedures that govern the purchase, sale and other disposition of our securities by directors, officers, employees, contractors and consultants, as well as by the Company itself. We believe these policies and procedures are reasonably designed to promote compliance with insider trading laws, rules and regulations and listing standards applicable to the Company. A copy of our Insider Trading Policy is filed with the Company’s Annual Report on Form 10-K as Exhibit 19.1.</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Prohibition on Hedging, Pledging and other Transactions</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As part of the Company’s Insider Trading Policy, all employees (including our executive officers), contractors, consultants,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General Counsel in accordance with any applicable policy or guidelines of the Company regarding pledging.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9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“Dodd-Frank Act”), and Section 14A of the Exchange Act, the Company’s stockholders are entitled to vote to approve, on an advisory basis, the compensation of the Company’s named executive officers as disclosed in this Proxy Statement in accordance with SEC rules.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CD&amp;A, the compensation tables, and the related narrative disclosure contained in this Proxy Statement. As discussed in those disclosures, the Company believes that its compensation policies and decisions are aligning pay for performance, including by making compensation variable and at risk, and aligns the compensation of our named executive officers with our stockholders’ interests. Compensation of the Company’s named executive officers is designed to enable the Company to attract and retain talented and experienced executives to lead the Company successfully in a competitive environment. Accordingly, the Board is asking the stockholders to indicate their support for the compensation of the Company’s named executive officers as described in this Proxy Statement by casting a non-binding advisory vote (“say-on-pay vote”) “FOR” the following resolution:</w:t>
      </w:r>
    </w:p>
    <w:p>
      <w:pPr>
        <w:spacing w:after="0" w:line="84"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68"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Consistent with the preferences expressed by our stockholders in agreement with our Board, our stockholders are given the opportunity to cast an advisory vote on this topic annually.</w:t>
      </w:r>
    </w:p>
    <w:p>
      <w:pPr>
        <w:spacing w:after="0" w:line="79"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votes cast affirmatively or negatively at the Annual Meeting.</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9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Audit Committee and the Board have selected Deloitte &amp; Touche LLP (“Deloitte”) as the Company’s independent registered public accounting firm for the fiscal year ending December 31, 2025 and have further directed that management submit the appointment of its independent registered public accounting firm for ratification by the stockholders at the Annual Meeting. Representatives of Deloitte are expected to be present at the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appointment of Deloitte as the Company’s independent registered public accounting firm. However, the Board is submitting the appointment of Deloitte to the stockholders for ratification as a matter of good corporate practice. If the stockholders fail to ratify the appointment, the Audit Committee of the Board will reconsider whether or not to retain that firm. Even if the appointment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2024 and December 31, 2023, by Deloitte, the Company’s principal accountant for such periods.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Deloitte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90"/>
        </w:trPr>
        <w:tc>
          <w:tcPr>
            <w:tcW w:w="56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$2,887,336.00</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$2,831,216.00</w:t>
            </w:r>
          </w:p>
        </w:tc>
      </w:tr>
      <w:tr>
        <w:trPr>
          <w:trHeight w:val="284"/>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437,466.00</w:t>
            </w:r>
          </w:p>
        </w:tc>
        <w:tc>
          <w:tcPr>
            <w:tcW w:w="3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6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6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$3,324,802.00</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$2,831,216.00</w:t>
            </w:r>
          </w:p>
        </w:tc>
      </w:tr>
      <w:tr>
        <w:trPr>
          <w:trHeight w:val="54"/>
        </w:trPr>
        <w:tc>
          <w:tcPr>
            <w:tcW w:w="56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All fees described above were pre-approved by the Audit Committee.</w:t>
      </w:r>
    </w:p>
    <w:p>
      <w:pPr>
        <w:spacing w:after="0" w:line="42" w:lineRule="exact"/>
        <w:rPr>
          <w:sz w:val="20"/>
          <w:szCs w:val="20"/>
          <w:color w:val="auto"/>
        </w:rPr>
      </w:pPr>
    </w:p>
    <w:p>
      <w:pPr>
        <w:ind w:left="640" w:right="419" w:hanging="348"/>
        <w:spacing w:after="0" w:line="24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fees related to the audit of the Company’s annual financial statements and review of the Company’s quarterly financial statements as well as services that are normally provided by independent registered public accounting firms in connection with statutory and regulatory filings or engagements for those fiscal years, including review of SEC registration statements and related consents.</w:t>
      </w:r>
    </w:p>
    <w:p>
      <w:pPr>
        <w:spacing w:after="0" w:line="14"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represent the aggregate fees billed for assurance and related services that are reasonably related to the audit or review of the company’s financial statements and are not reported as Audit Fees.</w:t>
      </w:r>
    </w:p>
    <w:p>
      <w:pPr>
        <w:ind w:left="640" w:right="65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compliance, tax advice and tax planning. The Company paid no tax fees to Deloitte for the years ended December 31, 2023 and December 31, 2024.</w:t>
      </w: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paid no other fees to Deloitte for the years ended December 31, 2023 and December 31, 2024.</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Deloitte.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105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is compatible with maintaining the principal accountant’s independence.</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Approval of this Proposal 3 requires the affirmative vote of the holders of a majority of the votes cast affirmatively or negatively.</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April 1, 2025.</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Chris Hulls</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55</w:t>
            </w: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56</w:t>
            </w: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For Mr. Hulls’ biography, see “Proposal 1 Election of Directors” above.</w:t>
      </w:r>
    </w:p>
    <w:p>
      <w:pPr>
        <w:spacing w:after="0" w:line="204"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Russell Burke </w:t>
      </w:r>
      <w:r>
        <w:rPr>
          <w:rFonts w:ascii="Times New Roman" w:cs="Times New Roman" w:eastAsia="Times New Roman" w:hAnsi="Times New Roman"/>
          <w:sz w:val="17"/>
          <w:szCs w:val="17"/>
          <w:color w:val="auto"/>
        </w:rPr>
        <w:t>has served as Life360’s Chief Financial Officer since May 2020. Prior to joining Life360, Mr. Burke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the Chief Financial 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and Magic Leap, Inc. and as Chief Executive Officer of Weight Watchers Australia and New Zealand and held senior financial positions at Sony Music Entertainment, and earlier in his career he was with Price Waterhouse (now PricewaterhouseCoopers) in Australia and the U.S. Mr. Burke received his Bachelor of Commerce from the University of Newcastle (Australia) and is a Chartered Accountant (Australia and New Zealand).</w:t>
      </w:r>
    </w:p>
    <w:p>
      <w:pPr>
        <w:spacing w:after="0" w:line="64"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Lauren Antonoff </w:t>
      </w:r>
      <w:r>
        <w:rPr>
          <w:rFonts w:ascii="Times New Roman" w:cs="Times New Roman" w:eastAsia="Times New Roman" w:hAnsi="Times New Roman"/>
          <w:sz w:val="18"/>
          <w:szCs w:val="18"/>
          <w:color w:val="auto"/>
        </w:rPr>
        <w:t>has served as Life360’s Chief Operating Officer since May 2023. Prior to joining Life360,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Antonoff served several roles at GoDaddy Inc., an internet domain registrar and web hosting company, including President of the U.S. small business division from November 2019 to January 2022 and Senior Vice President &amp; General Manager, Presence and Commerce from March 2015 to November 2019. Prior to GoDaddy, Ms. Antonoff spent over 18 years at Microsoft Corporation, a computer software company, serving in various program manager roles culminating as Director, Program Management for SharePoint. Ms. Antonoff served on the board of directors of Momentive Global Inc. from August 2022 to May 2023. Ms. Antonoff received a Bachelor of Arts in Rhetoric and Political Science from the University of California, Berkeley.</w:t>
      </w:r>
    </w:p>
    <w:p>
      <w:pPr>
        <w:spacing w:after="0" w:line="77"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Susan Stick </w:t>
      </w:r>
      <w:r>
        <w:rPr>
          <w:rFonts w:ascii="Times New Roman" w:cs="Times New Roman" w:eastAsia="Times New Roman" w:hAnsi="Times New Roman"/>
          <w:sz w:val="18"/>
          <w:szCs w:val="18"/>
          <w:color w:val="auto"/>
        </w:rPr>
        <w:t>has served as Life360’s General Counsel and Corporate Secretary since August 2023.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Life360, Ms. Stick served as General Counsel and Senior Vice President, People &amp; Places of Evernote Corporation from January 2018 to January 2023. Previously, she served as Vice President &amp; General Counsel of One Kings Lane, Associate General Counsel of Skype, and Assistant General Counsel of Intuit Inc. Ms. Stick received a Bachelor of Arts in History from the University of California, Los Angeles and a Juris Doctor from University of Hawaii at Manoa.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(including shares underlying all issued and outstanding CDIs) of the Company as of March 31, 2025 by (i) each person who, to the Company’s knowledge, owns more than 5% of its Common Stock, (ii) each of the Company’s named executive officers and directors, and (iii) all of the Company’s executive officers and directors as a group. The table also sets out the names of all persons who have filed Schedule 13D or 13G with the SEC,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of March 31, 2025, are deemed to be beneficially owned and outstanding for computing the share ownership and percentage of the person holding such options, warrants or other rights, but are not deemed outstanding for computing the percentage of any other person. As of March 31, 2025, the Company had 76,418,660 shares of Common Stock issued and outstanding, including all shares of Common Stock underlying issued and outstanding CDIs. Unless otherwise indicated below, the address for each beneficial owner is c/o Life360, Inc., 1900 S Norfolk Street, Suite 310, San Mateo, California 94403.</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18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60" w:type="dxa"/>
            <w:vAlign w:val="bottom"/>
          </w:tcPr>
          <w:p>
            <w:pPr>
              <w:spacing w:after="0"/>
              <w:rPr>
                <w:sz w:val="12"/>
                <w:szCs w:val="12"/>
                <w:color w:val="auto"/>
              </w:rPr>
            </w:pPr>
          </w:p>
        </w:tc>
        <w:tc>
          <w:tcPr>
            <w:tcW w:w="1180" w:type="dxa"/>
            <w:vAlign w:val="bottom"/>
            <w:gridSpan w:val="2"/>
          </w:tcPr>
          <w:p>
            <w:pPr>
              <w:jc w:val="right"/>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(1)</w:t>
            </w:r>
          </w:p>
        </w:tc>
        <w:tc>
          <w:tcPr>
            <w:tcW w:w="26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Chris Hulls</w:t>
            </w:r>
            <w:r>
              <w:rPr>
                <w:rFonts w:ascii="Times New Roman" w:cs="Times New Roman" w:eastAsia="Times New Roman" w:hAnsi="Times New Roman"/>
                <w:sz w:val="29"/>
                <w:szCs w:val="29"/>
                <w:color w:val="auto"/>
                <w:vertAlign w:val="superscript"/>
              </w:rPr>
              <w:t>(2)</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2,967,823</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Russell Burke</w:t>
            </w:r>
            <w:r>
              <w:rPr>
                <w:rFonts w:ascii="Times New Roman" w:cs="Times New Roman" w:eastAsia="Times New Roman" w:hAnsi="Times New Roman"/>
                <w:sz w:val="29"/>
                <w:szCs w:val="29"/>
                <w:color w:val="auto"/>
                <w:vertAlign w:val="superscript"/>
              </w:rPr>
              <w:t>(3)</w:t>
            </w: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650,507</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4"/>
        </w:trPr>
        <w:tc>
          <w:tcPr>
            <w:tcW w:w="5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Lauren Antonoff</w:t>
            </w:r>
            <w:r>
              <w:rPr>
                <w:rFonts w:ascii="Times New Roman" w:cs="Times New Roman" w:eastAsia="Times New Roman" w:hAnsi="Times New Roman"/>
                <w:sz w:val="29"/>
                <w:szCs w:val="29"/>
                <w:color w:val="auto"/>
                <w:vertAlign w:val="superscript"/>
              </w:rPr>
              <w:t>(4)</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136,091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Susan Stick</w:t>
            </w:r>
            <w:r>
              <w:rPr>
                <w:rFonts w:ascii="Times New Roman" w:cs="Times New Roman" w:eastAsia="Times New Roman" w:hAnsi="Times New Roman"/>
                <w:sz w:val="29"/>
                <w:szCs w:val="29"/>
                <w:color w:val="auto"/>
                <w:vertAlign w:val="superscript"/>
              </w:rPr>
              <w:t>(5)</w:t>
            </w: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19,879</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John Philip Coghlan</w:t>
            </w:r>
            <w:r>
              <w:rPr>
                <w:rFonts w:ascii="Times New Roman" w:cs="Times New Roman" w:eastAsia="Times New Roman" w:hAnsi="Times New Roman"/>
                <w:sz w:val="29"/>
                <w:szCs w:val="29"/>
                <w:color w:val="auto"/>
                <w:vertAlign w:val="superscript"/>
              </w:rPr>
              <w:t>(6)</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370,733</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4"/>
        </w:trPr>
        <w:tc>
          <w:tcPr>
            <w:tcW w:w="54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Mark Goines</w:t>
            </w:r>
            <w:r>
              <w:rPr>
                <w:rFonts w:ascii="Times New Roman" w:cs="Times New Roman" w:eastAsia="Times New Roman" w:hAnsi="Times New Roman"/>
                <w:sz w:val="29"/>
                <w:szCs w:val="29"/>
                <w:color w:val="auto"/>
                <w:vertAlign w:val="superscript"/>
              </w:rPr>
              <w:t>(7)</w:t>
            </w: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128,869</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Alex Haro</w:t>
            </w:r>
            <w:r>
              <w:rPr>
                <w:rFonts w:ascii="Times New Roman" w:cs="Times New Roman" w:eastAsia="Times New Roman" w:hAnsi="Times New Roman"/>
                <w:sz w:val="29"/>
                <w:szCs w:val="29"/>
                <w:color w:val="auto"/>
                <w:vertAlign w:val="superscript"/>
              </w:rPr>
              <w:t>(8)</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1,368,325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Brit Morin</w:t>
            </w:r>
            <w:r>
              <w:rPr>
                <w:rFonts w:ascii="Times New Roman" w:cs="Times New Roman" w:eastAsia="Times New Roman" w:hAnsi="Times New Roman"/>
                <w:sz w:val="29"/>
                <w:szCs w:val="29"/>
                <w:color w:val="auto"/>
                <w:vertAlign w:val="superscript"/>
              </w:rPr>
              <w:t>(9)</w:t>
            </w: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160,116</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4"/>
        </w:trPr>
        <w:tc>
          <w:tcPr>
            <w:tcW w:w="5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Charles (CJ) Prober</w:t>
            </w:r>
            <w:r>
              <w:rPr>
                <w:rFonts w:ascii="Times New Roman" w:cs="Times New Roman" w:eastAsia="Times New Roman" w:hAnsi="Times New Roman"/>
                <w:sz w:val="29"/>
                <w:szCs w:val="29"/>
                <w:color w:val="auto"/>
                <w:vertAlign w:val="superscript"/>
              </w:rPr>
              <w:t>(10)</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192,155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James Synge</w:t>
            </w:r>
            <w:r>
              <w:rPr>
                <w:rFonts w:ascii="Times New Roman" w:cs="Times New Roman" w:eastAsia="Times New Roman" w:hAnsi="Times New Roman"/>
                <w:sz w:val="29"/>
                <w:szCs w:val="29"/>
                <w:color w:val="auto"/>
                <w:vertAlign w:val="superscript"/>
              </w:rPr>
              <w:t>(11)</w:t>
            </w: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279,882</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3"/>
        </w:trPr>
        <w:tc>
          <w:tcPr>
            <w:tcW w:w="54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David Wiadrowski</w:t>
            </w:r>
            <w:r>
              <w:rPr>
                <w:rFonts w:ascii="Times New Roman" w:cs="Times New Roman" w:eastAsia="Times New Roman" w:hAnsi="Times New Roman"/>
                <w:sz w:val="29"/>
                <w:szCs w:val="29"/>
                <w:color w:val="auto"/>
                <w:vertAlign w:val="superscript"/>
              </w:rPr>
              <w:t>(12)</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58,734</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284"/>
        </w:trPr>
        <w:tc>
          <w:tcPr>
            <w:tcW w:w="54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Randi Zuckerberg</w:t>
            </w:r>
            <w:r>
              <w:rPr>
                <w:rFonts w:ascii="Times New Roman" w:cs="Times New Roman" w:eastAsia="Times New Roman" w:hAnsi="Times New Roman"/>
                <w:sz w:val="29"/>
                <w:szCs w:val="29"/>
                <w:color w:val="auto"/>
                <w:vertAlign w:val="superscript"/>
              </w:rPr>
              <w:t>(13)</w:t>
            </w:r>
          </w:p>
        </w:tc>
        <w:tc>
          <w:tcPr>
            <w:tcW w:w="1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60,233</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r>
        <w:trPr>
          <w:trHeight w:val="39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individuals)</w:t>
            </w:r>
            <w:r>
              <w:rPr>
                <w:rFonts w:ascii="Times New Roman" w:cs="Times New Roman" w:eastAsia="Times New Roman" w:hAnsi="Times New Roman"/>
                <w:sz w:val="29"/>
                <w:szCs w:val="29"/>
                <w:b w:val="1"/>
                <w:bCs w:val="1"/>
                <w:color w:val="auto"/>
                <w:vertAlign w:val="superscript"/>
              </w:rPr>
              <w:t>(14)</w:t>
            </w:r>
          </w:p>
        </w:tc>
        <w:tc>
          <w:tcPr>
            <w:tcW w:w="1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6,393,347</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98425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0"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ownership of less than 1% of outstanding Common Stock.</w:t>
      </w:r>
    </w:p>
    <w:p>
      <w:pPr>
        <w:spacing w:after="0" w:line="42"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underlying issued and outstanding CDIs.</w:t>
      </w:r>
    </w:p>
    <w:p>
      <w:pPr>
        <w:spacing w:after="0" w:line="41" w:lineRule="exact"/>
        <w:rPr>
          <w:rFonts w:ascii="Times New Roman" w:cs="Times New Roman" w:eastAsia="Times New Roman" w:hAnsi="Times New Roman"/>
          <w:sz w:val="14"/>
          <w:szCs w:val="14"/>
          <w:color w:val="auto"/>
        </w:rPr>
      </w:pPr>
    </w:p>
    <w:p>
      <w:pPr>
        <w:ind w:left="640" w:right="399"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64,575 shares of our Common Stock held directly by Mr. Hulls; (ii) 260,060 shares of our Common Stock underlying 780,181 CDIs held directly by Mr. Hulls; (iii) 195,312 shares of our Common Stock underlying 585,938 CDIs held indirectly through the Rose Hulls 2023 Irrevocable Trust; (iv) 195,312 shares of our Common Stock underlying 585,938 CDIs held indirectly through the Robin Hulls 2023 Irrevocable Trust; (v) 195,312 shares of our Common Stock underlying 585,938 CDIs held indirectly through the Mackenzie Hulls 2023 Irrevocable Trust; (vi) 1,846 shares of our Common Stock held indirectly through ICCA Labs, LLC; (vii) 2,043,353 shares underlying options to purchase Common Stock that are exercisable within 60 days of March 31, 2025; and (viii) 12,051 shares underlying restrictive stock units (“RSUs”) that vested or will vest but will not be issued within 60 days of March 31, 2025 for administrative reasons. Mr. Hulls is a member of ICCA Labs, LLC and the number of shares reported herein represents his proportionate ownership interest in ICCA Labs, LLC.</w:t>
      </w:r>
    </w:p>
    <w:p>
      <w:pPr>
        <w:spacing w:after="0" w:line="102"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80,091 shares of our Common Stock held directly by Mr. Burke; (ii) 552,944 shares underlying options to purchase Common Stock that are exercisable within 60 days of March 31, 2025; and (iii) 17,472 shares underlying RSUs that vested or will vest but will not be issued within 60 days of March 31, 2025 for administrative reasons.</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101,427 shares of our Common Stock held directly by Ms. Antonoff; and (ii) 34,664 shares underlying RSUs that vested or will vest but will not be issued within 60 days of March 31, 2025 for administrative reasons.</w:t>
      </w:r>
    </w:p>
    <w:p>
      <w:pPr>
        <w:ind w:left="640" w:right="5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14,652 shares of our Common Stock held directly by Ms. Stick; and (ii) 5,227 shares underlying RSUs that vested or will vest but will not be issued within 60 days of March 31, 2025 for administrative reasons.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7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1,742 shares of our Common Stock held directly by Mr. Coghlan; (ii) 37,411 shares of our Common Stock held indirectly through the John Coghlan Living Trust; (iii) 64,834 shares of our Common Stock held indirectly through the John Philip Coghlan 2024 Grantor Retained Annuity Trust; (iv) 265,004 shares underlying options to purchase Common Stock that are exercisable within 60 days of March 31, 2025; and (v) 1,742 shares underlying RSUs that vested or will vest but will not be issued within 60 days of March 31, 2025 for administrative reasons.</w:t>
      </w:r>
    </w:p>
    <w:p>
      <w:pPr>
        <w:spacing w:after="0" w:line="15"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1,507 shares of our Common Stock held directly by Mr. Goines; (ii) 91,809 shares of our Common Stock held indirectly through the Goines Wong Living Trust; (iii) 34,045 shares underlying options to purchase Common Stock that are exercisable within 60 days of March 31, 2025; and (iv) 1,508 shares underlying RSUs that vested or will vest but will not be issued within 60 days of March 31, 2025 for administrative reasons.</w:t>
      </w:r>
    </w:p>
    <w:p>
      <w:pPr>
        <w:spacing w:after="0" w:line="14" w:lineRule="exact"/>
        <w:rPr>
          <w:rFonts w:ascii="Times New Roman" w:cs="Times New Roman" w:eastAsia="Times New Roman" w:hAnsi="Times New Roman"/>
          <w:sz w:val="14"/>
          <w:szCs w:val="14"/>
          <w:color w:val="auto"/>
        </w:rPr>
      </w:pPr>
    </w:p>
    <w:p>
      <w:pPr>
        <w:ind w:left="640" w:right="51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957,153 shares of our Common Stock held directly by Mr. Haro; (ii) 1,887 shares of our Common Stock held indirectly through ICCA Labs, LLC; (iii) 407,837 shares underlying options to purchase Common Stock that are exercisable within 60 days of March 31, 2025; and (iv) 1,448 shares underlying RSUs that vested or will vest but will not be issued within 60 days of March 31, 2025. Mr. Haro is a member of ICCA Labs, LLC and the number of shares reported herein represents his proportionate ownership interest in ICCA Labs, LLC for administrative reasons.</w:t>
      </w:r>
    </w:p>
    <w:p>
      <w:pPr>
        <w:spacing w:after="0" w:line="15"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31,590 shares of our Common Stock held directly by Ms. Morin; (ii) 127,031 shares underlying options to purchase Common Stock that are exercisable within 60 days of March 31, 2025; and (iii) 1,495 shares underlying RSUs that vested or will vest but will not be issued within 60 days of March 31, 2025 for administrative reasons.</w:t>
      </w:r>
    </w:p>
    <w:p>
      <w:pPr>
        <w:spacing w:after="0" w:line="14"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101,294 shares of our Common Stock held directly by Mr. Prober; (ii) 89,413 shares underlying options to purchase Common Stock that are exercisable within 60 days of March 31, 2025; and (iii) 1,448 shares underlying RSUs that vested or will vest but will not be issued within 60 days of March 31, 2025 for administrative reasons.</w:t>
      </w:r>
    </w:p>
    <w:p>
      <w:pPr>
        <w:spacing w:after="0" w:line="14" w:lineRule="exact"/>
        <w:rPr>
          <w:rFonts w:ascii="Times New Roman" w:cs="Times New Roman" w:eastAsia="Times New Roman" w:hAnsi="Times New Roman"/>
          <w:sz w:val="14"/>
          <w:szCs w:val="14"/>
          <w:color w:val="auto"/>
        </w:rPr>
      </w:pPr>
    </w:p>
    <w:p>
      <w:pPr>
        <w:ind w:left="640" w:right="539" w:hanging="348"/>
        <w:spacing w:after="0" w:line="229"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50,272 shares of our Common Stock held directly by Mr. Synge; (ii) 190,173 shares of our Common Stock underlying 570,519 CDIs held directly by Mr. Synge; (iii) 3,966 shares of our Common Stock held indirectly through ICCA Labs, LLC (the “ICCA Shares”), (iv) 33,972 shares underlying options to purchase Common Stock that are exercisable within 60 days of March 31, 2025; and</w:t>
      </w:r>
    </w:p>
    <w:p>
      <w:pPr>
        <w:ind w:left="640" w:right="459" w:firstLine="3"/>
        <w:spacing w:after="0" w:line="228" w:lineRule="auto"/>
        <w:tabs>
          <w:tab w:leader="none" w:pos="844"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1,499 shares underlying RSUs that vested or will vest but will not be issued within 60 days of March 31, 2025 for administrative reasons.. Mr. Synge has shared investment control held over Carthona Capital FS Pty Ltd. (“Carthona Capital”). Carthona Capital is a member of ICCA Labs, LLC. The ICCA Shares reported as beneficially owned by Mr. Synge represents Carthona Capital’s proportionate ownership interest in ICCA Labs, LLC. Mr. Synge disclaims beneficial ownership of these ICCA Shares except to the extent of his pecuniary interest therein.</w:t>
      </w:r>
    </w:p>
    <w:p>
      <w:pPr>
        <w:spacing w:after="0" w:line="15"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11,541 shares of our Common Stock held directly by Mr. Wiadrowski; (ii) 8,256 shares of our Common Stock underlying 24,768 CDIs held directly by Mr. Wiadrowski; (iii) 37,361 shares underlying options to purchase Common Stock that are exercisable within 60 days of March 31, 2025; and (iv) 1,576 shares underlying RSUs that vested or will vest but will not be issued within 60 days of March 31, 2025 for administrative reasons.</w:t>
      </w:r>
    </w:p>
    <w:p>
      <w:pPr>
        <w:spacing w:after="0" w:line="14"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20,915 shares of our Common Stock held directly by Ms. Zuckerberg; (ii) 37,870 shares underlying options to purchase Common Stock that are exercisable within 60 days of March 31, 2025; and (iii) 1,448 shares underlying RSUs that vested or will vest but will not be issued within 60 days of March 31, 2025 for administrative reasons.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1,638,512 shares of our Common Stock; (ii) 1,044,427 shares of our Common Stock underlying 3,133,282 CDIs;</w:t>
      </w:r>
    </w:p>
    <w:p>
      <w:pPr>
        <w:spacing w:after="0" w:line="3" w:lineRule="exact"/>
        <w:rPr>
          <w:rFonts w:ascii="Times New Roman" w:cs="Times New Roman" w:eastAsia="Times New Roman" w:hAnsi="Times New Roman"/>
          <w:sz w:val="14"/>
          <w:szCs w:val="14"/>
          <w:color w:val="auto"/>
        </w:rPr>
      </w:pPr>
    </w:p>
    <w:p>
      <w:pPr>
        <w:ind w:left="640" w:right="319" w:firstLine="3"/>
        <w:spacing w:after="0" w:line="233" w:lineRule="auto"/>
        <w:tabs>
          <w:tab w:leader="none" w:pos="892"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3,628,830 shares underlying options to purchase Common Stock that are exercisable within 60 days of March 31, 2025; and (iv) 81,578 shares underlying RSUs that vested or will vest but will not be issued within 60 days of March 31, 2025 for administrative reasons held by our executive officers and directors as a group.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directors and persons who own more than 10% of Common Stock to file reports of ownership and changes in ownership with the SEC. Officers, directors and greater than 10% stockholders are required by SEC regulations to furnish the Company with copies of all Section 16(a) forms that they file. Based solely on its review of the copies of the forms it received, or written representations from reporting persons, the Company believes that all filing requirements applicable to its officers, directors and greater than 10% stockholders were met during the year ended December 31, 2024, except that a Form 4 report was not timely filed on behalf of Ms. Stick for a grant of restricted stock units granted on April 14, 2024. A Form 4 report was subsequently made on April 30, 2024 to report such transaction.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iscussion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nalysis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Life360 is a family connection and safety company that helps keep people, pets, and important things close to the ones who love them. Our category-leading mobile app combines location sharing, driving safety, and digital protection features to bring peace of mind to everyday family life—whether that means coordinating pickups, checking on loved ones, or responding to emergencies. Operating on a “freemium” model, Life360 offers essential features at no cost, along with optional membership plans for added protection and services. Our hardware devices, including Tile Bluetooth trackers, integrate seamlessly with the Life360 app to help members keep track of what matters most. In addition, our advertising business offers relevant, high-quality brand integrations that provide value to members and enhance member experience while supporting long-term platform monetization</w:t>
      </w:r>
      <w:r>
        <w:rPr>
          <w:rFonts w:ascii="Times New Roman" w:cs="Times New Roman" w:eastAsia="Times New Roman" w:hAnsi="Times New Roman"/>
          <w:sz w:val="18"/>
          <w:szCs w:val="18"/>
          <w:i w:val="1"/>
          <w:iCs w:val="1"/>
          <w:color w:val="auto"/>
        </w:rPr>
        <w:t>.</w:t>
      </w:r>
    </w:p>
    <w:p>
      <w:pPr>
        <w:spacing w:after="0" w:line="84"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Life360’s core values are designed to create a culture that supports our vision of an ambitious, professionally driven organization that can simplify safety so families can live fully:</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Good Person. Everyone at Life360 respects each other and maintains a high level of integrity.</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Direct with Respect. We communicate directly, even when it’s hard. This is always done in support of the other person’s development, and we are intentionally inclusive and always respectful.</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Before Metrics. We value metrics and use them to influence strategy and measure results, but at our core we always focus on building an exceptional experience for families.</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Intensity, High Impact. We do whatever it takes to get the job done. We are in a fast moving and competitive environment and we have a team that is in it to win it.</w:t>
      </w:r>
    </w:p>
    <w:p>
      <w:pPr>
        <w:spacing w:after="0" w:line="5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Our executive compensation program is designed to support our core values by awarding compensation that is designed to attract, retain, and motivate strong leaders who perform at high levels of intensity to help us deliver on our corporate mission and objectives. In structuring our executive compensation program, our Compensation Committee considers the unique characteristics of the Company and the significant competition for top talent in our industry; the challenges of recruiting, retaining, and motivating executives in an industry that generally has significant risks; and evolving compensation governance and best practices. Further, as a company incorporated in Delaware, with dual listing on Nasdaq and ASX and approximately 80 million monthly active users (“MAUs”) located in more than 150 countries, our leadership team must also possess, in addition to deep knowledge of the U.S. and Australian securities laws and governance requirements, the global perspectives and expertise required to navigate geopolitical challenges and to address novel and complex issues amid the evolving global regulatory and operating landscape.</w:t>
      </w:r>
    </w:p>
    <w:p>
      <w:pPr>
        <w:spacing w:after="0" w:line="84"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This CD&amp;A describes an overview of our executive compensation philosophy and objectives and the material elements of our executive compensation program during 2024 with respect to the following “named executive officers” (“NEOs”):</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Chris Hulls</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Fiscal 2024 Performance Highlights</w:t>
      </w:r>
    </w:p>
    <w:p>
      <w:pPr>
        <w:spacing w:after="0" w:line="11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2024 was a transformative year for the Company, as it became dual-listed in the U.S. and Australia. On June 6, 2024, the Company completed its U.S. IPO and began trading on the Nasdaq Global Select Market under the trading symbol “LIF” which is in addition to its CHESS Depository Interests (“CDIs”) already listed on the ASX under the trading symbol “360.”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successfully executed against its strategic operating plan, as highlighted by the following:</w:t>
      </w:r>
    </w:p>
    <w:p>
      <w:pPr>
        <w:spacing w:after="0" w:line="117" w:lineRule="exact"/>
        <w:rPr>
          <w:sz w:val="20"/>
          <w:szCs w:val="20"/>
          <w:color w:val="auto"/>
        </w:rPr>
      </w:pPr>
    </w:p>
    <w:p>
      <w:pPr>
        <w:ind w:left="1000" w:right="6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$371.5 million, a year-over-year increase of 22%, in line with guidance of $368 million to $374 million;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$4.6 million, a $23.6 million improvement from fiscal 2023;</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Adjusted EBITDA of $45.5 million ahead of guidance of $39 million to $42 million, with consistent Positive Adjusted EBITDA delivered in each quarter of fiscal 2024;</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operating cash flow of $32.6 million, a $25.1 million improvement versus fiscal 2023; and</w:t>
      </w:r>
    </w:p>
    <w:p>
      <w:pPr>
        <w:spacing w:after="0" w:line="9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Year-end cash, cash equivalents and restricted cash of $160.5 million up from $70.7 million at the end of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148590</wp:posOffset>
            </wp:positionV>
            <wp:extent cx="5040630" cy="2846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4063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59" w:lineRule="exact"/>
        <w:rPr>
          <w:sz w:val="20"/>
          <w:szCs w:val="20"/>
          <w:color w:val="auto"/>
        </w:rPr>
      </w:pPr>
    </w:p>
    <w:p>
      <w:pPr>
        <w:ind w:left="640" w:right="399" w:hanging="348"/>
        <w:spacing w:after="0" w:line="23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that the Company defines as net loss, excluding (i) convertible notes, derivative liability, and investment fair value adjustments, (ii) gain and loss on settlement of convertible notes and derivative liability, (iii) provision for (benefit from) income taxes, (iv) depreciation and amortization, (v) other income, net, (vi) stock-based compensation, (vii) IPO-related transaction costs, including secondary offering costs, (viii) workplace restructuring costs, (ix) the write-off of obsolete inventory, (x) the adjustment in connection with membership benefit, and (xi) warehouse relocation costs. See the Appendix for additional information, including a reconciliation of Adjusted EBITDA to net loss.</w:t>
      </w:r>
    </w:p>
    <w:p>
      <w:pPr>
        <w:spacing w:after="0" w:line="15"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our Annual Report on Form 10-K, filed with the SEC on February 27, 2025 for more information regarding our MAUs, Paying Circles and Average Revenue Per Paying Circle (“ARPPC”) and how we calculate such metrics.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Fiscal 2024 Compensation Highlights</w:t>
      </w:r>
    </w:p>
    <w:p>
      <w:pPr>
        <w:spacing w:after="0" w:line="11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Our overall compensation program for fiscal 2024, which was designed to compensate our NEOs in a manner consistent with competitive pay practices and aligned with stockholder interest, consisted of three components: base salary, a cash incentive bonus, and long-term equity incentive compensation. The following are highlights of key compensation actions for fiscal 2024 with respect to our NEOs:</w:t>
      </w:r>
    </w:p>
    <w:p>
      <w:pPr>
        <w:spacing w:after="0" w:line="68" w:lineRule="exact"/>
        <w:rPr>
          <w:sz w:val="20"/>
          <w:szCs w:val="20"/>
          <w:color w:val="auto"/>
        </w:rPr>
      </w:pPr>
    </w:p>
    <w:p>
      <w:pPr>
        <w:ind w:left="1000" w:right="53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Competitive Base Salary Increases</w:t>
      </w:r>
      <w:r>
        <w:rPr>
          <w:rFonts w:ascii="Times New Roman" w:cs="Times New Roman" w:eastAsia="Times New Roman" w:hAnsi="Times New Roman"/>
          <w:sz w:val="18"/>
          <w:szCs w:val="18"/>
          <w:color w:val="auto"/>
        </w:rPr>
        <w:t>. Our business requires us to recruit and retain a team of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talented executives, and we operate in a competitive hiring environment. Our Compensation Committee determined that base salary increases for our NEOs were appropriate in order to maintain market-competitive compensation packages.</w:t>
      </w:r>
    </w:p>
    <w:p>
      <w:pPr>
        <w:spacing w:after="0" w:line="68" w:lineRule="exact"/>
        <w:rPr>
          <w:rFonts w:ascii="Times New Roman" w:cs="Times New Roman" w:eastAsia="Times New Roman" w:hAnsi="Times New Roman"/>
          <w:sz w:val="18"/>
          <w:szCs w:val="18"/>
          <w:color w:val="auto"/>
        </w:rPr>
      </w:pPr>
    </w:p>
    <w:p>
      <w:pPr>
        <w:ind w:left="1000" w:right="43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Performance-Based Annual Incentive Bonuses. </w:t>
      </w:r>
      <w:r>
        <w:rPr>
          <w:rFonts w:ascii="Times New Roman" w:cs="Times New Roman" w:eastAsia="Times New Roman" w:hAnsi="Times New Roman"/>
          <w:sz w:val="18"/>
          <w:szCs w:val="18"/>
          <w:color w:val="auto"/>
        </w:rPr>
        <w:t>Our NEOs were eligible to receive cash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based on our level of achievement of specific short-term financial and operational goals. Based on our actual performance for fiscal 2024, each of our NEOs earned an annual incentive bonus equal to 90% (100% with respect to Ms. Stick) of their respective targets.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00" w:right="319" w:hanging="348"/>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One-Time Transaction Bonuses. </w:t>
      </w:r>
      <w:r>
        <w:rPr>
          <w:rFonts w:ascii="Times New Roman" w:cs="Times New Roman" w:eastAsia="Times New Roman" w:hAnsi="Times New Roman"/>
          <w:sz w:val="18"/>
          <w:szCs w:val="18"/>
          <w:color w:val="auto"/>
        </w:rPr>
        <w:t>Following the completion of our U.S. IPO in June 2024,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to grant one-time transaction bonuses to Messrs. Hulls and Burke and Ms. Stick, in recognition of the important roles they played in preparing and guiding the Company through the U.S. IPO.</w:t>
      </w:r>
    </w:p>
    <w:p>
      <w:pPr>
        <w:spacing w:after="0" w:line="62" w:lineRule="exact"/>
        <w:rPr>
          <w:rFonts w:ascii="Times New Roman" w:cs="Times New Roman" w:eastAsia="Times New Roman" w:hAnsi="Times New Roman"/>
          <w:sz w:val="18"/>
          <w:szCs w:val="18"/>
          <w:color w:val="auto"/>
        </w:rPr>
      </w:pPr>
    </w:p>
    <w:p>
      <w:pPr>
        <w:ind w:left="1000" w:right="499" w:hanging="348"/>
        <w:spacing w:after="0" w:line="255"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Introduction of Performance-Based Equity Awards. </w:t>
      </w:r>
      <w:r>
        <w:rPr>
          <w:rFonts w:ascii="Times New Roman" w:cs="Times New Roman" w:eastAsia="Times New Roman" w:hAnsi="Times New Roman"/>
          <w:sz w:val="18"/>
          <w:szCs w:val="18"/>
          <w:color w:val="auto"/>
        </w:rPr>
        <w:t>Taking into consideration feedback from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60% and 40% of the target long-term incentive value for our Chief Executive Officer and other NEOs (other than Ms. Stick), respectively, was granted in the form of performance restricted stock units (“PRSUs”) eligible to be earned based on our level of achievement of revenue and Adjusted EBITDA goals for fiscal 2024. Based on our performance during the year, participating NEOs earned</w:t>
      </w:r>
    </w:p>
    <w:p>
      <w:pPr>
        <w:spacing w:after="0" w:line="2" w:lineRule="exact"/>
        <w:rPr>
          <w:rFonts w:ascii="Times New Roman" w:cs="Times New Roman" w:eastAsia="Times New Roman" w:hAnsi="Times New Roman"/>
          <w:sz w:val="18"/>
          <w:szCs w:val="18"/>
          <w:color w:val="auto"/>
        </w:rPr>
      </w:pPr>
    </w:p>
    <w:p>
      <w:pPr>
        <w:ind w:left="1000" w:right="3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134.9% of target for the PRSUs granted in fiscal 2024. 25% of earned PRSUs vested on the first quarterly vesting date following the Compensation Committee’s determination of actual performance, with the remaining 75% converting to time-based RSUs and vesting in twelve equal quarterly installments, subject to continued employment through each vesting date.</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2024 Say-on-Pay Vote and Stockholder Engagement</w:t>
      </w:r>
    </w:p>
    <w:p>
      <w:pPr>
        <w:spacing w:after="0" w:line="11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At our 2024 Annual Meeting of Stockholders, we held our first advisory votes on the compensation of our NEOs (a “say-on-pay vote”). Consistent with best practices, we will hold annual advisory votes to allow our stockholders to provide us with their regular input on our executive compensation program. While a majority of our stockholders supported our 2024 say-on-pay vote at our 2024 Annual Meeting of Stockholders, the total votes cast in support was well below the level that we desire from our stockholders.</w:t>
      </w:r>
    </w:p>
    <w:p>
      <w:pPr>
        <w:spacing w:after="0" w:line="75"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Prior to our 2024 Annual Meeting of Stockholders, we reached out to a majority of our stockholders to get a better understanding of their views on executive compensation. While we were limited in our ability to engage with our stockholders during the period leading up to our U.S. IPO, since the closing of our U.S. IPO we have regularly engaged with stockholders where we have discussed a variety of topics, including matters relating to executive compensation. We value the feedback received from our stockholders and look forward to an open dialogue with our stockholders.</w:t>
      </w:r>
    </w:p>
    <w:p>
      <w:pPr>
        <w:spacing w:after="0" w:line="7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We expect that our compensation program will continue to evolve to reflect our status as a U.S. publicly-traded company and to further align with the competitive market, with our 2024 program reflecting that evolution with the introduction of our performance equity program, as described further below. We believe that the 2024 performance equity program worked well in further aligning management’s interests with key objectives of the Company and the Compensation Committee has approved the same executive compensation structure for 2025 as it continues to evaluate market practices and how best to structure an executive compensation program that is aligned with the Company’s key business objectives while still serving as an effective tool for attracting, retaining and incentivizing key talent.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Introduction of Performance Equity Plan</w:t>
      </w:r>
    </w:p>
    <w:p>
      <w:pPr>
        <w:spacing w:after="0" w:line="11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Consistent with stockholder feedback, the 2024 equity awards for Mr. Hulls, Mr. Burke and Ms. Antonoff consisted of both PRSUs (weighted 60% for Mr. Hulls and 40% for Mr. Burke and Ms. Antonoff) and time-based RSUs (weighted 40% for Mr. Hulls and 60% for Mr. Burke and Ms. Antonoff). Please see below for the construct of the PRSUs, the terms of which are further described in “Terms of Performance Restricted Stock Units” below.</w:t>
      </w:r>
    </w:p>
    <w:p>
      <w:pPr>
        <w:sectPr>
          <w:pgSz w:w="11900" w:h="16838" w:orient="portrait"/>
          <w:cols w:equalWidth="0" w:num="1">
            <w:col w:w="9019"/>
          </w:cols>
          <w:pgMar w:left="1440" w:top="114" w:right="1440" w:bottom="1440" w:gutter="0" w:footer="0" w:header="0"/>
        </w:sectPr>
      </w:pPr>
    </w:p>
    <w:p>
      <w:pPr>
        <w:spacing w:after="0" w:line="1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Revenue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260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Threshold: 90% of revenue target.</w:t>
      </w:r>
    </w:p>
    <w:p>
      <w:pPr>
        <w:spacing w:after="0" w:line="144"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If revenue is below the threshold, 50% of the PRSUs will lapse.</w:t>
      </w:r>
    </w:p>
    <w:p>
      <w:pPr>
        <w:spacing w:after="0" w:line="81"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If revenue is above target and Adjusted EBITDA threshold is achieved: up to 100% of the PRSUs will vest (200% of Target).</w:t>
      </w:r>
    </w:p>
    <w:p>
      <w:pPr>
        <w:spacing w:after="0" w:line="95"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Payout on Revenue metric capped at 100% if Adjusted EBITDA threshold is not achieved.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Adjusted EBITDA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2606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90% of Adjusted EBITDA target.</w:t>
      </w:r>
    </w:p>
    <w:p>
      <w:pPr>
        <w:spacing w:after="0" w:line="144" w:lineRule="exact"/>
        <w:rPr>
          <w:sz w:val="20"/>
          <w:szCs w:val="20"/>
          <w:color w:val="auto"/>
        </w:rPr>
      </w:pPr>
    </w:p>
    <w:p>
      <w:pPr>
        <w:ind w:right="379"/>
        <w:spacing w:after="0" w:line="282" w:lineRule="auto"/>
        <w:rPr>
          <w:sz w:val="20"/>
          <w:szCs w:val="20"/>
          <w:color w:val="auto"/>
        </w:rPr>
      </w:pPr>
      <w:r>
        <w:rPr>
          <w:rFonts w:ascii="Times New Roman" w:cs="Times New Roman" w:eastAsia="Times New Roman" w:hAnsi="Times New Roman"/>
          <w:sz w:val="18"/>
          <w:szCs w:val="18"/>
          <w:color w:val="auto"/>
        </w:rPr>
        <w:t>If Adjusted EBITDA is below the threshold, 50% of the PRSUs will lapse.</w:t>
      </w:r>
    </w:p>
    <w:p>
      <w:pPr>
        <w:spacing w:after="0" w:line="81" w:lineRule="exact"/>
        <w:rPr>
          <w:sz w:val="20"/>
          <w:szCs w:val="20"/>
          <w:color w:val="auto"/>
        </w:rPr>
      </w:pPr>
    </w:p>
    <w:p>
      <w:pPr>
        <w:ind w:right="459"/>
        <w:spacing w:after="0" w:line="266" w:lineRule="auto"/>
        <w:rPr>
          <w:sz w:val="20"/>
          <w:szCs w:val="20"/>
          <w:color w:val="auto"/>
        </w:rPr>
      </w:pPr>
      <w:r>
        <w:rPr>
          <w:rFonts w:ascii="Times New Roman" w:cs="Times New Roman" w:eastAsia="Times New Roman" w:hAnsi="Times New Roman"/>
          <w:sz w:val="18"/>
          <w:szCs w:val="18"/>
          <w:color w:val="auto"/>
        </w:rPr>
        <w:t>If Adjusted EBITDA is above target up to 100% of the PRSUs will vest (200% of Target). Calculated independent of revenue performance.</w:t>
      </w:r>
    </w:p>
    <w:p>
      <w:pPr>
        <w:spacing w:after="0" w:line="781" w:lineRule="exact"/>
        <w:rPr>
          <w:sz w:val="20"/>
          <w:szCs w:val="20"/>
          <w:color w:val="auto"/>
        </w:rPr>
      </w:pPr>
    </w:p>
    <w:p>
      <w:pPr>
        <w:sectPr>
          <w:pgSz w:w="11900" w:h="16838" w:orient="portrait"/>
          <w:cols w:equalWidth="0" w:num="2">
            <w:col w:w="4240" w:space="380"/>
            <w:col w:w="4399"/>
          </w:cols>
          <w:pgMar w:left="1440" w:top="114" w:right="1440"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8" w:name="page39"/>
    <w:bookmarkEnd w:id="38"/>
    <w:tbl>
      <w:tblPr>
        <w:tblLayout w:type="fixed"/>
        <w:tblInd w:w="1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416"/>
        </w:trPr>
        <w:tc>
          <w:tcPr>
            <w:tcW w:w="41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Revenue (50% Weighting)</w:t>
            </w:r>
          </w:p>
        </w:tc>
        <w:tc>
          <w:tcPr>
            <w:tcW w:w="220" w:type="dxa"/>
            <w:vAlign w:val="bottom"/>
          </w:tcPr>
          <w:p>
            <w:pPr>
              <w:spacing w:after="0"/>
              <w:rPr>
                <w:sz w:val="24"/>
                <w:szCs w:val="24"/>
                <w:color w:val="auto"/>
              </w:rPr>
            </w:pPr>
          </w:p>
        </w:tc>
        <w:tc>
          <w:tcPr>
            <w:tcW w:w="41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Adjusted EBITDA (50% Weighting)</w:t>
            </w:r>
          </w:p>
        </w:tc>
      </w:tr>
      <w:tr>
        <w:trPr>
          <w:trHeight w:val="23"/>
        </w:trPr>
        <w:tc>
          <w:tcPr>
            <w:tcW w:w="1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Payout 3:1 for Revenue above target, subject to the</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Payout 2:1 for Adjusted EBITDA beyond target</w:t>
            </w: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of Target.</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44" w:lineRule="exact"/>
        <w:rPr>
          <w:sz w:val="20"/>
          <w:szCs w:val="20"/>
          <w:color w:val="auto"/>
        </w:rPr>
      </w:pPr>
    </w:p>
    <w:p>
      <w:pPr>
        <w:ind w:left="1300" w:right="1440"/>
        <w:spacing w:after="0" w:line="282" w:lineRule="auto"/>
        <w:rPr>
          <w:sz w:val="20"/>
          <w:szCs w:val="20"/>
          <w:color w:val="auto"/>
        </w:rPr>
      </w:pPr>
      <w:r>
        <w:rPr>
          <w:rFonts w:ascii="Times New Roman" w:cs="Times New Roman" w:eastAsia="Times New Roman" w:hAnsi="Times New Roman"/>
          <w:sz w:val="18"/>
          <w:szCs w:val="18"/>
          <w:color w:val="auto"/>
        </w:rPr>
        <w:t>The goal of the plan is to have a balanced focus on both top and bottom-line growth. The use of Adjusted EBITDA threshold as a gate on revenue upside enforces a balance between growth and profitability.</w:t>
      </w:r>
    </w:p>
    <w:p>
      <w:pPr>
        <w:spacing w:after="0" w:line="54" w:lineRule="exact"/>
        <w:rPr>
          <w:sz w:val="20"/>
          <w:szCs w:val="20"/>
          <w:color w:val="auto"/>
        </w:rPr>
      </w:pPr>
    </w:p>
    <w:p>
      <w:pPr>
        <w:ind w:left="1300" w:right="1300"/>
        <w:spacing w:after="0" w:line="266" w:lineRule="auto"/>
        <w:rPr>
          <w:sz w:val="20"/>
          <w:szCs w:val="20"/>
          <w:color w:val="auto"/>
        </w:rPr>
      </w:pPr>
      <w:r>
        <w:rPr>
          <w:rFonts w:ascii="Times New Roman" w:cs="Times New Roman" w:eastAsia="Times New Roman" w:hAnsi="Times New Roman"/>
          <w:sz w:val="18"/>
          <w:szCs w:val="18"/>
          <w:color w:val="auto"/>
        </w:rPr>
        <w:t>The Compensation Committee elected to introduce a performance equity plan to tie a meaningful portion of pay to measurable goals with defined time horizons. The Compensation Committee believes that the introduction of PRSUs effectively supports retention and motivational objectives of the overall executive pay program.</w:t>
      </w:r>
    </w:p>
    <w:p>
      <w:pPr>
        <w:spacing w:after="0" w:line="68" w:lineRule="exact"/>
        <w:rPr>
          <w:sz w:val="20"/>
          <w:szCs w:val="20"/>
          <w:color w:val="auto"/>
        </w:rPr>
      </w:pPr>
    </w:p>
    <w:p>
      <w:pPr>
        <w:ind w:left="1300" w:right="1340"/>
        <w:spacing w:after="0" w:line="270" w:lineRule="auto"/>
        <w:rPr>
          <w:sz w:val="20"/>
          <w:szCs w:val="20"/>
          <w:color w:val="auto"/>
        </w:rPr>
      </w:pPr>
      <w:r>
        <w:rPr>
          <w:rFonts w:ascii="Times New Roman" w:cs="Times New Roman" w:eastAsia="Times New Roman" w:hAnsi="Times New Roman"/>
          <w:sz w:val="17"/>
          <w:szCs w:val="17"/>
          <w:color w:val="auto"/>
        </w:rPr>
        <w:t>The Compensation Committee approved this design following an extensive review of alternatives, incorporating input from the Committee’s independent compensation consultant as well as an overview of practices among companies in our compensation peer group and at a similar lifecycle in terms of being newly public in the U.S. The Compensation Committee believes that this design is aligned with our objectives and competitive with the approach among our peer companies, appropriately balancing retention and motivational objectives of our long-term incentive program. In particular, our Compensation Committee has considered the feedback of our investors and the design of the compensation plans for our NEOs in the context of our profile as an Australian listed company with NEOs that are based in the U.S. Given our profile and emphasis on delivering compensation that is competitive taking into consideration the competitive talent market applicable to our NEOs, the Compensation Committee primarily references practices among comparable US-headquartered companies when assessing the competitive market.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300" w:right="1400"/>
        <w:spacing w:after="0" w:line="277" w:lineRule="auto"/>
        <w:rPr>
          <w:sz w:val="20"/>
          <w:szCs w:val="20"/>
          <w:color w:val="auto"/>
        </w:rPr>
      </w:pPr>
      <w:r>
        <w:rPr>
          <w:rFonts w:ascii="Times New Roman" w:cs="Times New Roman" w:eastAsia="Times New Roman" w:hAnsi="Times New Roman"/>
          <w:sz w:val="17"/>
          <w:szCs w:val="17"/>
          <w:color w:val="auto"/>
        </w:rPr>
        <w:t>The objective of our compensation program is to enable us to hire, incentivize, and retain the world-class talent that we need to execute our strategy and successfully pursue our mission of keeping people close to the ones they love. To that end and consistent with our pay-for-performance design, our short- and long-term incentive compensation programs are tied to performance goals and stock price because we believe that consistent and strong results should lead to higher compensation, while failure to achieve our performance goals should lead to lower compensation.</w:t>
      </w:r>
    </w:p>
    <w:p>
      <w:pPr>
        <w:spacing w:after="0" w:line="60" w:lineRule="exact"/>
        <w:rPr>
          <w:sz w:val="20"/>
          <w:szCs w:val="20"/>
          <w:color w:val="auto"/>
        </w:rPr>
      </w:pPr>
    </w:p>
    <w:p>
      <w:pPr>
        <w:ind w:left="1300" w:right="152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is designed to align with our strategy and with stockholder interests in three significant respects.</w:t>
      </w:r>
    </w:p>
    <w:p>
      <w:pPr>
        <w:spacing w:after="0" w:line="50" w:lineRule="exact"/>
        <w:rPr>
          <w:sz w:val="20"/>
          <w:szCs w:val="20"/>
          <w:color w:val="auto"/>
        </w:rPr>
      </w:pPr>
    </w:p>
    <w:p>
      <w:pPr>
        <w:ind w:left="2000" w:right="1760" w:hanging="348"/>
        <w:spacing w:after="0" w:line="268" w:lineRule="auto"/>
        <w:tabs>
          <w:tab w:leader="none" w:pos="2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 for Performance</w:t>
      </w:r>
      <w:r>
        <w:rPr>
          <w:rFonts w:ascii="Times New Roman" w:cs="Times New Roman" w:eastAsia="Times New Roman" w:hAnsi="Times New Roman"/>
          <w:sz w:val="18"/>
          <w:szCs w:val="18"/>
          <w:color w:val="auto"/>
        </w:rPr>
        <w:t>. Direct compensation for the NEOs typically has three components: salary;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cash bonus opportunity tied to performance against prescribed Company, business unit, and individual goals; and equity, the value of which hinges on sustained stock price performance.</w:t>
      </w:r>
    </w:p>
    <w:p>
      <w:pPr>
        <w:spacing w:after="0" w:line="62" w:lineRule="exact"/>
        <w:rPr>
          <w:rFonts w:ascii="Times New Roman" w:cs="Times New Roman" w:eastAsia="Times New Roman" w:hAnsi="Times New Roman"/>
          <w:sz w:val="18"/>
          <w:szCs w:val="18"/>
          <w:color w:val="auto"/>
        </w:rPr>
      </w:pPr>
    </w:p>
    <w:p>
      <w:pPr>
        <w:jc w:val="both"/>
        <w:ind w:left="2000" w:right="1680" w:hanging="348"/>
        <w:spacing w:after="0" w:line="291" w:lineRule="auto"/>
        <w:tabs>
          <w:tab w:leader="none" w:pos="2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Emphasis on Variable and At-Risk Compensation</w:t>
      </w:r>
      <w:r>
        <w:rPr>
          <w:rFonts w:ascii="Times New Roman" w:cs="Times New Roman" w:eastAsia="Times New Roman" w:hAnsi="Times New Roman"/>
          <w:sz w:val="17"/>
          <w:szCs w:val="17"/>
          <w:color w:val="auto"/>
        </w:rPr>
        <w:t>. In 2024, approximately 87% of the target direct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for the Chief Executive Officer and 74% of the target direct compensation for the other NEOs (on average) was at-risk, with payout or vesting tied to either Company or stock price.</w:t>
      </w:r>
    </w:p>
    <w:p>
      <w:pPr>
        <w:spacing w:after="0" w:line="44" w:lineRule="exact"/>
        <w:rPr>
          <w:rFonts w:ascii="Times New Roman" w:cs="Times New Roman" w:eastAsia="Times New Roman" w:hAnsi="Times New Roman"/>
          <w:sz w:val="17"/>
          <w:szCs w:val="17"/>
          <w:color w:val="auto"/>
        </w:rPr>
      </w:pPr>
    </w:p>
    <w:p>
      <w:pPr>
        <w:ind w:left="2000" w:right="1760" w:hanging="348"/>
        <w:spacing w:after="0" w:line="268" w:lineRule="auto"/>
        <w:tabs>
          <w:tab w:leader="none" w:pos="2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Competitive. </w:t>
      </w:r>
      <w:r>
        <w:rPr>
          <w:rFonts w:ascii="Times New Roman" w:cs="Times New Roman" w:eastAsia="Times New Roman" w:hAnsi="Times New Roman"/>
          <w:sz w:val="18"/>
          <w:szCs w:val="18"/>
          <w:color w:val="auto"/>
        </w:rPr>
        <w:t>We provide competitive base salaries and meaningful short- and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opportunities to support our retention objectives and to tie compensation to achievement of Life360’s financial, strategic, and operational goals.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Executive Compensation Practices</w:t>
      </w:r>
    </w:p>
    <w:p>
      <w:pPr>
        <w:spacing w:after="0" w:line="121" w:lineRule="exact"/>
        <w:rPr>
          <w:sz w:val="20"/>
          <w:szCs w:val="20"/>
          <w:color w:val="auto"/>
        </w:rPr>
      </w:pPr>
    </w:p>
    <w:p>
      <w:pPr>
        <w:jc w:val="both"/>
        <w:ind w:left="1300" w:right="152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on an ongoing basis the Company’s executive compensation program and practices to evaluate whether they support the Company’s executive compensation philosophy and objectives and are aligned with stockholder interests. Our executive compensation practices include the following, each of which the Compensation Committee believes reinforces our executive compensation objectives: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Practice</w:t>
            </w:r>
          </w:p>
        </w:tc>
        <w:tc>
          <w:tcPr>
            <w:tcW w:w="2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Regular competitive analysis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With the help of its compensation consultant, the Compensation Committee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annually reviews our executives’ total target compensation opportunities</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40" w:type="dxa"/>
            <w:vAlign w:val="bottom"/>
            <w:gridSpan w:val="2"/>
          </w:tcPr>
          <w:p>
            <w:pPr>
              <w:jc w:val="right"/>
              <w:ind w:right="4036"/>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39" w:name="page40"/>
    <w:bookmarkEnd w:id="3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tcPr>
          <w:p>
            <w:pPr>
              <w:spacing w:after="0"/>
              <w:rPr>
                <w:sz w:val="14"/>
                <w:szCs w:val="14"/>
                <w:color w:val="auto"/>
              </w:rPr>
            </w:pPr>
          </w:p>
        </w:tc>
      </w:tr>
      <w:tr>
        <w:trPr>
          <w:trHeight w:val="416"/>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Practice</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each individual element of compensation against our peer group and</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market survey data to assess the competitiveness and reasonableness of our</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 program.</w:t>
            </w:r>
          </w:p>
        </w:tc>
      </w:tr>
      <w:tr>
        <w:trPr>
          <w:trHeight w:val="331"/>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Double-trigger change in control</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ASX Listing Rules and except in limited circumstances, equity</w:t>
            </w:r>
          </w:p>
        </w:tc>
      </w:tr>
      <w:tr>
        <w:trPr>
          <w:trHeight w:val="23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requirement</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awards may not accelerate before or after a change in control alone.</w:t>
            </w:r>
          </w:p>
        </w:tc>
      </w:tr>
      <w:tr>
        <w:trPr>
          <w:trHeight w:val="33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At-risk compensation</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 average, over 75% of our NEOs’ target direct compensation is at-risk and</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tied to Company performance or our stock price to further align their interests</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with those of our stockholders.</w:t>
            </w:r>
          </w:p>
        </w:tc>
      </w:tr>
      <w:tr>
        <w:trPr>
          <w:trHeight w:val="33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Long-term focus</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 provide significant equity-based compensation with vesting occurring</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over a multiple-year period to encourage durable growth and consistent, well-</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rounded performance and retention.</w:t>
            </w:r>
          </w:p>
        </w:tc>
      </w:tr>
      <w:tr>
        <w:trPr>
          <w:trHeight w:val="33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Independent decision-maker</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All members of the Compensation Committee are independent directors, and</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they are supported by an independent compensation consultant.</w:t>
            </w:r>
          </w:p>
        </w:tc>
      </w:tr>
      <w:tr>
        <w:trPr>
          <w:trHeight w:val="33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Hedging and pledging transactions</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Our Insider Trading Policy prohibits all employees, executives, and directors</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from engaging in short sales, puts and calls, or other hedging transactions.</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 may not be pledged as collateral in a margin account or</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 a loan unless approved by the Board of Directors for board members or</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General Counsel for employees.</w:t>
            </w:r>
          </w:p>
        </w:tc>
      </w:tr>
      <w:tr>
        <w:trPr>
          <w:trHeight w:val="33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Limited executive perquisites</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general, we provide benefits to our NEOs on the same basis as provided to</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all of our employees, including health, dental and vision insurance and life</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disability insurance. Our only executive perquisite is a health club</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for our Chief Executive Officer pursuant to a legacy</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arrangement.</w:t>
            </w:r>
          </w:p>
        </w:tc>
      </w:tr>
      <w:tr>
        <w:trPr>
          <w:trHeight w:val="607"/>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What We Don’t Do</w:t>
            </w: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62"/>
        </w:trPr>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Practice</w:t>
            </w:r>
          </w:p>
        </w:tc>
        <w:tc>
          <w:tcPr>
            <w:tcW w:w="12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8"/>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 retirement programs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than our 401(k) plan, which is generally available to all employees, we</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do not offer defined benefit or contribution retirement plans or arrangements</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or nonqualified deferred compensation plans or arrangements for any</w:t>
            </w:r>
          </w:p>
        </w:tc>
      </w:tr>
      <w:tr>
        <w:trPr>
          <w:trHeight w:val="234"/>
        </w:trPr>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executives, including the NEOs.</w:t>
            </w:r>
          </w:p>
        </w:tc>
      </w:tr>
      <w:tr>
        <w:trPr>
          <w:trHeight w:val="331"/>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 option repricing or</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 do not alter the exercise price of underwater stock options or issue</w:t>
            </w:r>
          </w:p>
        </w:tc>
      </w:tr>
      <w:tr>
        <w:trPr>
          <w:trHeight w:val="23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replacements</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replacement options with a new exercise price.</w:t>
            </w:r>
          </w:p>
        </w:tc>
      </w:tr>
      <w:tr>
        <w:trPr>
          <w:trHeight w:val="351"/>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 executive tax gross-ups</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 do not provide tax gross ups on executive compensation payments.</w:t>
            </w: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Determine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Our Compensation Committee acts on behalf of the Board in overseeing the compensation arrangements for our executive officers. This includes reviewing our compensation programs, assessing our compensation risk profile, establishing our compensation peer group, and reviewing our compensation structure and pay mix to ensure alignment with our compensation philosophy and objectives.</w:t>
      </w:r>
    </w:p>
    <w:p>
      <w:pPr>
        <w:spacing w:after="0" w:line="72"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Typically, the Compensation Committee uses its meetings during the first quarter of the year to determine its recommendations regarding annual compensation, bonus and equity awards, and performance objectives for the NEOs. At other meetings throughout the year, the Compensation Committee considers matters such as compensation for new executive hires, as well as high-level strategic issues, such as the efficacy of the Company’s compensation strategy, potential modifications to that strategy, and new trends, plans or approaches to compensation.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69" w:lineRule="auto"/>
        <w:rPr>
          <w:sz w:val="20"/>
          <w:szCs w:val="20"/>
          <w:color w:val="auto"/>
        </w:rPr>
      </w:pPr>
      <w:r>
        <w:rPr>
          <w:rFonts w:ascii="Times New Roman" w:cs="Times New Roman" w:eastAsia="Times New Roman" w:hAnsi="Times New Roman"/>
          <w:sz w:val="17"/>
          <w:szCs w:val="17"/>
          <w:color w:val="auto"/>
        </w:rPr>
        <w:t>The Compensation Committee assists the Board in evaluating the performance of the Chief Executive Officer and approves or, as deemed appropriate, recommends to the Board any adjustments to his compensation, as well as awards to be granted. As part of any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stock ownership information, Company stock performance data, analyses of historical executive compensation levels and current Company-wide compensation levels, and the recommendations of the Compensation Committee’s compensation consultant and the Chief People Officer, including analyses of executive compensation paid at comparable companies. These materials provide a framework for decision-making regarding compensation opportunities and final compensation determinations for each NEO. The Compensation Committee members arrive at compensation decisions after considering the factors they deem relevant in light of their individual experience, business judgment, and knowledge of the Company, each NEO, and the competitive market.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1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performing its responsibilities, the Compensation Committee consults with the Chief Executive Officer, the Chief People Officer and other members of our management team. Management assists the Compensation Committee by providing information on corporate and individual performance, market compensation data, and management’s perspective on compensation matters.</w:t>
      </w:r>
    </w:p>
    <w:p>
      <w:pPr>
        <w:spacing w:after="0" w:line="72"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The salary and incentive opportunities, program structures, and other compensation-related matters for senior managers who report directly to the Chief Executive Officer, including Mr. Burke and Ms. Antonoff, are subject to prior recommendation from the Chief Executive Officer, other than with respect to himself. Further, Mr. Burke makes recommendations to the Compensation Committee with respect to the compensation for Ms. Stick. The Compensation Committee considers these recommendations as one factor in determining its recommendation regarding compensation of our executive officers.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the Compensation Consultant</w:t>
      </w:r>
    </w:p>
    <w:p>
      <w:pPr>
        <w:spacing w:after="0" w:line="11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 external compensation consultant to assist it by providing information, analysis and other advice relating to our executive compensation program and the decisions resulting from its annual executive compensation review, including the authority to approve the consultant’s reasonable fees and other retention terms. The compensation consultant reports directly to the Compensation Committee and its chair and serves at the discretion of the Compensation Committee, which reviews the engagement annually.</w:t>
      </w:r>
    </w:p>
    <w:p>
      <w:pPr>
        <w:spacing w:after="0" w:line="79"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In 2024, the Compensation Committee engaged Compensia, Inc., a nationally recognized compensation consulting firm, to serve as its independent compensation consultant and advise on executive compensation matters, including competitive market pay practices for our executive officers, including our NEOs, and data analysis and selection of the compensation peer group.</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2024, Compensia provided various services, including the following:</w:t>
      </w:r>
    </w:p>
    <w:p>
      <w:pPr>
        <w:spacing w:after="0" w:line="117"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in the review and updating of our compensation peer group;</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compensation levels of our NEOs relative to competitive market data based on companies in our compensation peer group and selected compensation surveys;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on compensation best practices and market trends for NEOs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the finalization of terms for the performance-based equity awarded to our NEOs in 2024.</w:t>
      </w:r>
    </w:p>
    <w:p>
      <w:pPr>
        <w:spacing w:after="0" w:line="117" w:lineRule="exact"/>
        <w:rPr>
          <w:sz w:val="20"/>
          <w:szCs w:val="20"/>
          <w:color w:val="auto"/>
        </w:rPr>
      </w:pPr>
    </w:p>
    <w:p>
      <w:pPr>
        <w:ind w:left="300" w:right="579"/>
        <w:spacing w:after="0" w:line="289" w:lineRule="auto"/>
        <w:rPr>
          <w:sz w:val="20"/>
          <w:szCs w:val="20"/>
          <w:color w:val="auto"/>
        </w:rPr>
      </w:pPr>
      <w:r>
        <w:rPr>
          <w:rFonts w:ascii="Times New Roman" w:cs="Times New Roman" w:eastAsia="Times New Roman" w:hAnsi="Times New Roman"/>
          <w:sz w:val="17"/>
          <w:szCs w:val="17"/>
          <w:color w:val="auto"/>
        </w:rPr>
        <w:t>The Compensation Committee has assessed, and periodically confirms, the necessary criteria and has determined that the engagement of Compensia does not raise any conflicts of interest or other similar concerns. Compensia reports directly to our Compensation Committee and does not provide any other services to the Company.</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Use of Market Data</w:t>
      </w:r>
    </w:p>
    <w:p>
      <w:pPr>
        <w:spacing w:after="0" w:line="11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and considers the compensation levels and practices of a group of peer companies for purposes of assessing the competitive market positioning of our executive compensation program. In September 2023, Compensia proposed, and the Compensation Committee approved, a group of companies that would be appropriate peers for fiscal 2024 compensation decisions, based on the following criteria: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U.S. headquartered companies with a preference for companies based in the Bay Area.</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w:t>
      </w:r>
      <w:r>
        <w:rPr>
          <w:rFonts w:ascii="Times New Roman" w:cs="Times New Roman" w:eastAsia="Times New Roman" w:hAnsi="Times New Roman"/>
          <w:sz w:val="18"/>
          <w:szCs w:val="18"/>
          <w:color w:val="auto"/>
        </w:rPr>
        <w:t>Primary focus on cloud-based software companies with preference for consumer-facing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and/or mobile application platforms.</w:t>
      </w:r>
    </w:p>
    <w:p>
      <w:pPr>
        <w:spacing w:after="0" w:line="46" w:lineRule="exact"/>
        <w:rPr>
          <w:rFonts w:ascii="Times New Roman" w:cs="Times New Roman" w:eastAsia="Times New Roman" w:hAnsi="Times New Roman"/>
          <w:sz w:val="18"/>
          <w:szCs w:val="18"/>
          <w:color w:val="auto"/>
        </w:rPr>
      </w:pPr>
    </w:p>
    <w:p>
      <w:pPr>
        <w:ind w:left="1000" w:right="599" w:hanging="348"/>
        <w:spacing w:after="0" w:line="28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Within a range of ~0.3x to ~3.0x, our trailing four fiscal quarters’ revenue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exceptions for companies based on overall relevance and business profile).</w:t>
      </w:r>
    </w:p>
    <w:p>
      <w:pPr>
        <w:spacing w:after="0" w:line="46" w:lineRule="exact"/>
        <w:rPr>
          <w:rFonts w:ascii="Times New Roman" w:cs="Times New Roman" w:eastAsia="Times New Roman" w:hAnsi="Times New Roman"/>
          <w:sz w:val="18"/>
          <w:szCs w:val="18"/>
          <w:color w:val="auto"/>
        </w:rPr>
      </w:pPr>
    </w:p>
    <w:p>
      <w:pPr>
        <w:jc w:val="both"/>
        <w:ind w:left="1000" w:right="459" w:hanging="348"/>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Capitalization. </w:t>
      </w:r>
      <w:r>
        <w:rPr>
          <w:rFonts w:ascii="Times New Roman" w:cs="Times New Roman" w:eastAsia="Times New Roman" w:hAnsi="Times New Roman"/>
          <w:sz w:val="18"/>
          <w:szCs w:val="18"/>
          <w:color w:val="auto"/>
        </w:rPr>
        <w:t>Within a range of ~0.3x to ~3.0x, our then-market capitalization based on a 30-day trading average (subject to certain exceptions for companies based on overall relevance and business profile).</w:t>
      </w:r>
    </w:p>
    <w:p>
      <w:pPr>
        <w:spacing w:after="0" w:line="67"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Using the above criteria, the fiscal 2024 peer group approved by the Compensia Committee in September 2023 consisted of the following companies: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33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2024 PEER GROUP</w:t>
            </w:r>
          </w:p>
        </w:tc>
        <w:tc>
          <w:tcPr>
            <w:tcW w:w="2260" w:type="dxa"/>
            <w:vAlign w:val="bottom"/>
          </w:tcPr>
          <w:p>
            <w:pPr>
              <w:spacing w:after="0"/>
              <w:rPr>
                <w:sz w:val="20"/>
                <w:szCs w:val="20"/>
                <w:color w:val="auto"/>
              </w:rPr>
            </w:pPr>
          </w:p>
        </w:tc>
      </w:tr>
      <w:tr>
        <w:trPr>
          <w:trHeight w:val="39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Alarm.com Holdings (ALRM)</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Everbridge (EVBG)</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ON24 (ONTF)</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American Software (AMSW.A)</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Globalstar (GSAT)</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Ooma (OOMA)</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Clear Secure (YOU)</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LiveVox Holdings (LVOX)</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OptimizeRx (OPRX)</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Couchbase (BASE)</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Matterport (MTTR)</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PagerDuty (PD)</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CS Disco (LAW)</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Mitek Systems (MITK)</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Soundthinking (SSTI)</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eGain (EGAN)</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MiX Telematics (MIX)</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TrueCar (TRUE)</w:t>
            </w: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Eventbrite (EB)</w:t>
            </w:r>
          </w:p>
        </w:tc>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Nextdoor Holdings (KIND)</w:t>
            </w: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Veritone (VERI)</w:t>
            </w:r>
          </w:p>
        </w:tc>
      </w:tr>
    </w:tbl>
    <w:p>
      <w:pPr>
        <w:spacing w:after="0" w:line="144"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Relative to the peer group approved for the purpose of informing fiscal 2023 compensation, the Compensation Committee removed Nitro Software, Ping Identify Holding, Shotspotter, Sumo Logic, and System 1 because they were acquired, and added Alarm.com Holdings, Clear Secure, Everbridge, Matterport and Soundthinking based on their alignment with the peer selection criteria described above.</w:t>
      </w:r>
    </w:p>
    <w:p>
      <w:pPr>
        <w:spacing w:after="0" w:line="72"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The Compensation Committee expects to review the peer group for suitability at least annually with our compensation consultant to account for any year-over-year changes to our business and the businesses of our peer companies and modify the peer group as needed. The Compensation Committee utilizes the compensation of executive officers of the companies in this peer group data as one reference point for evaluating and determining the compensation of our NEOs, along with various other factors, such as market competition for a particular position, the strategic importance of the position, requirements of the position, retention considerations, an individual’s performance, possession of a unique skill or knowledge set, proven leadership capabilities and internal pay equity.</w:t>
      </w:r>
    </w:p>
    <w:p>
      <w:pPr>
        <w:spacing w:after="0" w:line="63"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In determining the compensation of our NEOs, our Compensation Committee considered the market data provided by Compensia and other factors outlined below in “Compensation-Setting Factors.” The Compensation Committee generally does not specifically benchmark the compensation of any individual to a precise percentile within the range of compensation found in the market data. In addition, the Compensation Committee does not have a set formula by which it determines how much of the NEO’s compensation is fixed rather than variable or at risk.</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Compensation-Setting Factors</w:t>
      </w:r>
    </w:p>
    <w:p>
      <w:pPr>
        <w:spacing w:after="0" w:line="11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compensation annually for all our executive officers. In setting executive base salaries and bonuses and granting equity incentive awards, the Compensation Committee and the Board consider compensation for comparable positions in the market, the historical compensation levels of our executives, company-wide and individual performance as compared to our expectations and objectives, our desire to motivate our employees to achieve short and long-term results that are in the best interests of our stockholders, and the desire to incent a long-term commitment to our company. We target a general competitive position, incorporating market data provided by the Compensation Committee’s independent compensation consultant, to help inform the mix of base salary, bonus and long-term equity incentives.</w:t>
      </w:r>
    </w:p>
    <w:p>
      <w:pPr>
        <w:spacing w:after="0" w:line="8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Our Compensation Committee has historically determined our executives’ compensation and consults with the full Board in determining the compensation of our Chief Executive Officer. Our Compensation Committee typically reviews and discusses management’s proposed compensation with the Chief Executive Officer for all executives other than the Chief Executive Officer.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Based on those discussions and its discretion, taking into account the factors noted above, the Compensation Committee approves or, as deemed appropriate, recommends to the Board the base salaries and cash incentive bonuses for our executive officers. The Compensation Committee also reviews its decisions with the full Board, and considers any input received.</w:t>
      </w:r>
    </w:p>
    <w:p>
      <w:pPr>
        <w:spacing w:after="0" w:line="72" w:lineRule="exact"/>
        <w:rPr>
          <w:sz w:val="20"/>
          <w:szCs w:val="20"/>
          <w:color w:val="auto"/>
        </w:rPr>
      </w:pPr>
    </w:p>
    <w:p>
      <w:pPr>
        <w:ind w:left="300" w:right="939"/>
        <w:spacing w:after="0" w:line="312" w:lineRule="auto"/>
        <w:rPr>
          <w:sz w:val="20"/>
          <w:szCs w:val="20"/>
          <w:color w:val="auto"/>
        </w:rPr>
      </w:pPr>
      <w:r>
        <w:rPr>
          <w:rFonts w:ascii="Times New Roman" w:cs="Times New Roman" w:eastAsia="Times New Roman" w:hAnsi="Times New Roman"/>
          <w:sz w:val="17"/>
          <w:szCs w:val="17"/>
          <w:color w:val="auto"/>
        </w:rPr>
        <w:t>When reviewing and approving the amount of each compensation element and the target total compensation opportunity for our executive officers, the Compensation Committee considers the following factors:</w:t>
      </w:r>
    </w:p>
    <w:p>
      <w:pPr>
        <w:spacing w:after="0" w:line="32" w:lineRule="exact"/>
        <w:rPr>
          <w:sz w:val="20"/>
          <w:szCs w:val="20"/>
          <w:color w:val="auto"/>
        </w:rPr>
      </w:pPr>
    </w:p>
    <w:p>
      <w:pPr>
        <w:ind w:left="1000" w:right="4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annual corporate goals established by the Compensation Committee and the Board in consultation with management;</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officers’ skills, experience, and qualifications and the scope of the executive officer’s role relative to other similarly situated executives at our peer group companies;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an assessment of their contributions to our overall performance, ability to lead their department, and work as part of a team, all of which reflect our core values;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parity amount our executive officers;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retention goals, and potential difficulty of replacing the executive officer if they were to leave the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relative to our peers;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the positioning of each executive officer’s compensation in a ranking of peer company compensation levels; and</w:t>
      </w:r>
    </w:p>
    <w:p>
      <w:pPr>
        <w:spacing w:after="0" w:line="53"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 provided by our Chief Executive Officer with respect to the compensation of Mr. Burke and Ms. Antonoff, and the recommendation provided by Mr. Burke with respect to the compensation of Ms. Stick.</w:t>
      </w:r>
    </w:p>
    <w:p>
      <w:pPr>
        <w:spacing w:after="0" w:line="6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These factors provide the framework for determining the compensation of each of our executive officers, including our NEOs. The Compensation Committee does not assign relative weights or rankings to these factors, and does not consider any single factor as determinative in the compensation of our executive officers. Rather, the Compensation Committee and our Board, as applicable, rely on their own knowledge and judgment in assessing these factors and making compensation decisions.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Executive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2024 Compensation Elements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executive compensation program consists primarily of the three components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188595</wp:posOffset>
            </wp:positionV>
            <wp:extent cx="3977640" cy="23914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7764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300" w:right="1360"/>
        <w:spacing w:after="0" w:line="270" w:lineRule="auto"/>
        <w:rPr>
          <w:sz w:val="20"/>
          <w:szCs w:val="20"/>
          <w:color w:val="auto"/>
        </w:rPr>
      </w:pPr>
      <w:r>
        <w:rPr>
          <w:rFonts w:ascii="Times New Roman" w:cs="Times New Roman" w:eastAsia="Times New Roman" w:hAnsi="Times New Roman"/>
          <w:sz w:val="17"/>
          <w:szCs w:val="17"/>
          <w:color w:val="auto"/>
        </w:rPr>
        <w:t>The base salary for each NEO is set at a level that is commensurate with the executive’s duties and authority, contributions, prior experience, and sustained performance. Consistent with our long-term oriented philosophy, base salaries represent a small portion of the NEOs’ total direct compensation. In setting base salary amounts, we aim for internal equity among executives in similar roles and with similar performance and tenure. The 2024 base salaries</w:t>
      </w:r>
    </w:p>
    <w:p>
      <w:pPr>
        <w:spacing w:after="0" w:line="3" w:lineRule="exact"/>
        <w:rPr>
          <w:sz w:val="20"/>
          <w:szCs w:val="20"/>
          <w:color w:val="auto"/>
        </w:rPr>
      </w:pPr>
    </w:p>
    <w:p>
      <w:pPr>
        <w:ind w:left="1300" w:right="1320"/>
        <w:spacing w:after="0" w:line="239" w:lineRule="auto"/>
        <w:rPr>
          <w:sz w:val="20"/>
          <w:szCs w:val="20"/>
          <w:color w:val="auto"/>
        </w:rPr>
      </w:pPr>
      <w:r>
        <w:rPr>
          <w:rFonts w:ascii="Times New Roman" w:cs="Times New Roman" w:eastAsia="Times New Roman" w:hAnsi="Times New Roman"/>
          <w:sz w:val="18"/>
          <w:szCs w:val="18"/>
          <w:color w:val="auto"/>
        </w:rPr>
        <w:t>for our NEOs, shown below, fell between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our peer group. Increases in base salary for the NEOs other than Mr. Burke were in line with the normal merit process that reviews individual performance and compensation practices at the peer group. With respect to Mr. Burke, the Compensation Committee recommended, and the Board approved, an increase in Mr. Burke’s base salary to more closely align his target cash compensation with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29"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0" w:type="dxa"/>
            <w:vAlign w:val="bottom"/>
          </w:tcPr>
          <w:p>
            <w:pPr>
              <w:spacing w:after="0"/>
              <w:rPr>
                <w:sz w:val="16"/>
                <w:szCs w:val="16"/>
                <w:color w:val="auto"/>
              </w:rPr>
            </w:pPr>
          </w:p>
        </w:tc>
        <w:tc>
          <w:tcPr>
            <w:tcW w:w="17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3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$515,000</w:t>
            </w:r>
          </w:p>
        </w:tc>
        <w:tc>
          <w:tcPr>
            <w:tcW w:w="13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$500,000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7"/>
              </w:rPr>
              <w:t>$450,000</w:t>
            </w:r>
          </w:p>
        </w:tc>
        <w:tc>
          <w:tcPr>
            <w:tcW w:w="13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3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$475,000</w:t>
            </w:r>
          </w:p>
        </w:tc>
        <w:tc>
          <w:tcPr>
            <w:tcW w:w="13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$450,000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13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7"/>
              </w:rPr>
              <w:t>$340,000</w:t>
            </w:r>
          </w:p>
        </w:tc>
        <w:tc>
          <w:tcPr>
            <w:tcW w:w="13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$320,000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Annual Incentive Plan</w:t>
      </w:r>
    </w:p>
    <w:p>
      <w:pPr>
        <w:spacing w:after="0" w:line="119" w:lineRule="exact"/>
        <w:rPr>
          <w:sz w:val="20"/>
          <w:szCs w:val="20"/>
          <w:color w:val="auto"/>
        </w:rPr>
      </w:pPr>
    </w:p>
    <w:p>
      <w:pPr>
        <w:ind w:left="1300" w:right="1440"/>
        <w:spacing w:after="0" w:line="274" w:lineRule="auto"/>
        <w:rPr>
          <w:sz w:val="20"/>
          <w:szCs w:val="20"/>
          <w:color w:val="auto"/>
        </w:rPr>
      </w:pPr>
      <w:r>
        <w:rPr>
          <w:rFonts w:ascii="Times New Roman" w:cs="Times New Roman" w:eastAsia="Times New Roman" w:hAnsi="Times New Roman"/>
          <w:sz w:val="17"/>
          <w:szCs w:val="17"/>
          <w:color w:val="auto"/>
        </w:rPr>
        <w:t>Our annual incentive plan, the Life360 Compensation Plan for Board Directors and Company Leadership, is structured to promote the achievement of specific and measurable goals approved by the Compensation Committee at the beginning of the year. We use the same metrics to determine the Company and business unit portion of the annual incentive awards for all executives to promote an enterprise-wide mindset. The goals for the individual portion of the Chief Executive Officer’s annual incentive is set by the Compensation Committee, Ms. Stick’s goals are set by Mr. Burke, and Mr. Burke’s and Ms. Antonoff’s goals are set by the Chief Executive Officer.</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Target Incentive Opportunities</w:t>
      </w:r>
    </w:p>
    <w:p>
      <w:pPr>
        <w:spacing w:after="0" w:line="117" w:lineRule="exact"/>
        <w:rPr>
          <w:sz w:val="20"/>
          <w:szCs w:val="20"/>
          <w:color w:val="auto"/>
        </w:rPr>
      </w:pPr>
    </w:p>
    <w:p>
      <w:pPr>
        <w:ind w:left="1300" w:right="1540"/>
        <w:spacing w:after="0" w:line="269" w:lineRule="auto"/>
        <w:rPr>
          <w:sz w:val="20"/>
          <w:szCs w:val="20"/>
          <w:color w:val="auto"/>
        </w:rPr>
      </w:pPr>
      <w:r>
        <w:rPr>
          <w:rFonts w:ascii="Times New Roman" w:cs="Times New Roman" w:eastAsia="Times New Roman" w:hAnsi="Times New Roman"/>
          <w:sz w:val="18"/>
          <w:szCs w:val="18"/>
          <w:color w:val="auto"/>
        </w:rPr>
        <w:t>At the beginning of 2024, the Compensation Committee recommended, and the Board approved, target bonus opportunities for the NEOs as reflected in the table below. Ms. Stick’s target bonus opportunity as a percentage of base salary was increased from 30% to 40% in order to more closely align her target cash compensation with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5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Target Bonus (%)</w:t>
            </w:r>
          </w:p>
        </w:tc>
        <w:tc>
          <w:tcPr>
            <w:tcW w:w="5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 ($)</w:t>
            </w:r>
          </w:p>
        </w:tc>
      </w:tr>
      <w:tr>
        <w:trPr>
          <w:trHeight w:val="23"/>
        </w:trPr>
        <w:tc>
          <w:tcPr>
            <w:tcW w:w="38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26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$515,000</w:t>
            </w:r>
          </w:p>
        </w:tc>
        <w:tc>
          <w:tcPr>
            <w:tcW w:w="16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$515,000</w:t>
            </w: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2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7"/>
              </w:rPr>
              <w:t>$450,000</w:t>
            </w:r>
          </w:p>
        </w:tc>
        <w:tc>
          <w:tcPr>
            <w:tcW w:w="16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$225,000</w:t>
            </w:r>
          </w:p>
        </w:tc>
      </w:tr>
      <w:tr>
        <w:trPr>
          <w:trHeight w:val="24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26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$475,000</w:t>
            </w:r>
          </w:p>
        </w:tc>
        <w:tc>
          <w:tcPr>
            <w:tcW w:w="16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$237,500</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12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7"/>
              </w:rPr>
              <w:t>$340,000</w:t>
            </w:r>
          </w:p>
        </w:tc>
        <w:tc>
          <w:tcPr>
            <w:tcW w:w="16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w:t>
            </w:r>
          </w:p>
        </w:tc>
        <w:tc>
          <w:tcPr>
            <w:tcW w:w="16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$136,000</w:t>
            </w:r>
          </w:p>
        </w:tc>
      </w:tr>
    </w:tbl>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Final annual incentive payouts for the NEOs in 2024 were determined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188595</wp:posOffset>
            </wp:positionV>
            <wp:extent cx="476631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63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Company Performance Metrics and Results</w:t>
      </w:r>
    </w:p>
    <w:p>
      <w:pPr>
        <w:spacing w:after="0" w:line="117" w:lineRule="exact"/>
        <w:rPr>
          <w:sz w:val="20"/>
          <w:szCs w:val="20"/>
          <w:color w:val="auto"/>
        </w:rPr>
      </w:pPr>
    </w:p>
    <w:p>
      <w:pPr>
        <w:ind w:left="1300" w:right="1320"/>
        <w:spacing w:after="0" w:line="256" w:lineRule="auto"/>
        <w:rPr>
          <w:sz w:val="20"/>
          <w:szCs w:val="20"/>
          <w:color w:val="auto"/>
        </w:rPr>
      </w:pPr>
      <w:r>
        <w:rPr>
          <w:rFonts w:ascii="Times New Roman" w:cs="Times New Roman" w:eastAsia="Times New Roman" w:hAnsi="Times New Roman"/>
          <w:sz w:val="18"/>
          <w:szCs w:val="18"/>
          <w:color w:val="auto"/>
        </w:rPr>
        <w:t>For each Company performance metric, the Compensation Committee sets a “primary” target. In 2024 these targets were aggressive, with targets set at least 20% higher than 2023 results. The Company performance multiplier ultimately is determined based upon how many of these targets are attained. The exact payout percentage, which can range from 0-200% (with a 100% target), is decided by the Compensation Committee after consulting with the Chief Executive Officer (and Mr. Burke, with respect to Ms. Stick’s payout). While there is no set formula, the following examples illustrate potential outcomes: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Company misses all primary targets:</w:t>
            </w:r>
          </w:p>
        </w:tc>
        <w:tc>
          <w:tcPr>
            <w:tcW w:w="4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than 25%</w:t>
            </w:r>
          </w:p>
        </w:tc>
      </w:tr>
      <w:tr>
        <w:trPr>
          <w:trHeight w:val="243"/>
        </w:trPr>
        <w:tc>
          <w:tcPr>
            <w:tcW w:w="66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Company hits half of its primary targets and no stretch goals:</w:t>
            </w:r>
          </w:p>
        </w:tc>
        <w:tc>
          <w:tcPr>
            <w:tcW w:w="4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Approximately 50%</w:t>
            </w:r>
          </w:p>
        </w:tc>
      </w:tr>
      <w:tr>
        <w:trPr>
          <w:trHeight w:val="486"/>
        </w:trPr>
        <w:tc>
          <w:tcPr>
            <w:tcW w:w="6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38</w:t>
            </w:r>
          </w:p>
        </w:tc>
        <w:tc>
          <w:tcPr>
            <w:tcW w:w="4400" w:type="dxa"/>
            <w:vAlign w:val="bottom"/>
          </w:tcPr>
          <w:p>
            <w:pPr>
              <w:spacing w:after="0"/>
              <w:rPr>
                <w:sz w:val="24"/>
                <w:szCs w:val="24"/>
                <w:color w:val="auto"/>
              </w:rPr>
            </w:pPr>
          </w:p>
        </w:tc>
      </w:tr>
      <w:tr>
        <w:trPr>
          <w:trHeight w:val="196"/>
        </w:trPr>
        <w:tc>
          <w:tcPr>
            <w:tcW w:w="66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44" w:name="page45"/>
    <w:bookmarkEnd w:id="4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466"/>
        </w:trPr>
        <w:tc>
          <w:tcPr>
            <w:tcW w:w="5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Company hits all primary targets:</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Approximately 100%</w:t>
            </w:r>
          </w:p>
        </w:tc>
      </w:tr>
      <w:tr>
        <w:trPr>
          <w:trHeight w:val="243"/>
        </w:trPr>
        <w:tc>
          <w:tcPr>
            <w:tcW w:w="5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Company hits most primary targets and a mix of stretch goals:</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Approximately 100%</w:t>
            </w:r>
          </w:p>
        </w:tc>
      </w:tr>
      <w:tr>
        <w:trPr>
          <w:trHeight w:val="243"/>
        </w:trPr>
        <w:tc>
          <w:tcPr>
            <w:tcW w:w="5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Company hits all primary targets and a mix of stretch goals:</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Approximately 150%</w:t>
            </w:r>
          </w:p>
        </w:tc>
      </w:tr>
      <w:tr>
        <w:trPr>
          <w:trHeight w:val="243"/>
        </w:trPr>
        <w:tc>
          <w:tcPr>
            <w:tcW w:w="5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Company hits all primary targets and most stretch goals:</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44"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As part of its assessment, the Compensation Committee will consider how the Company achieved particular objectives, as well as external factors, such as the macroeconomic environment or unplanned regulatory work, that affected our results. The financial performance measures that the Company considers to have been the most important in linking compensation actually paid to our NEOs to company performance for fiscal 2024 include revenue, millions of monthly active users, adjusted EBITDA, and paying circles.</w:t>
      </w:r>
    </w:p>
    <w:p>
      <w:pPr>
        <w:spacing w:after="0" w:line="75"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For 2024, the Compensation Committee determined attainment of the Company performance multiplier at 100% based on the achievements of targets shown below. In addition to the overall targets set forth below, in determining payouts, the Compensation Committee also qualitatively assessed the Company’s performance with respect to other business metrics, such as subscription revenue, device revenue, and international performance.</w:t>
      </w:r>
    </w:p>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millions)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0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Result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targets</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Revenue for Year</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$ 305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 of Monthly Active Users</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61.4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Paying Circles</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4"/>
        </w:trPr>
        <w:tc>
          <w:tcPr>
            <w:tcW w:w="496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54"/>
        </w:trPr>
        <w:tc>
          <w:tcPr>
            <w:tcW w:w="49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Appendix for additional information, including a reconciliation of Adjusted EBITDA to net loss.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Individual Performance Metrics and Results</w:t>
      </w:r>
    </w:p>
    <w:p>
      <w:pPr>
        <w:spacing w:after="0" w:line="117"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individual performance metrics and targets for the Chief Executive Officer are set by the Compensation Committee, and by Mr. Burke for Ms. Stick and by the Chief Executive Officer for Mr. Burke and Ms. Antonoff. After the end of the year, the Compensation Committee determines the NEOs’ individual achievements. The individual performance multiplier can range from 0% to 200%, though typically only exceptional performance would result in a multiplier that exceeds 100%. Individual performance and individual multiplier determinations are based on a qualitative assessment of performance and not against measurable targets or set goals.</w:t>
      </w:r>
    </w:p>
    <w:p>
      <w:pPr>
        <w:spacing w:after="0" w:line="79"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color w:val="auto"/>
        </w:rPr>
        <w:t>With respect to 2024, the Compensation Committee approved a 90% payout for the individual performance component for Mr. Hulls, Mr. Burke and Ms. Antonoff. In determining the 90% payout, the Compensation Committee considered the recommendation of Mr. Hulls, the strong performance with respect to the various corporate goals as well as the success of the our U.S. IPO and the strength of the subscription business, but also acknowledged that the Company had achieved below target performance with respect to product improvements and innovations for the year. With respect to Ms. Stick, the Compensation Committee approved a 100% payout for the individual component, consistent with the payout level for the other participants in the annual incentive program.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How Annual Incentive Awards Are Paid</w:t>
      </w:r>
    </w:p>
    <w:p>
      <w:pPr>
        <w:spacing w:after="0" w:line="117"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At the discretion of the Board, the NEOs were eligible to receive 50% of their estimated 2024 annual incentive awards during the year. Once full-year performance is determined, the NEOs will receive the remainder of their annual awards. In November 2024, the NEOs received 50% of their estimated annual incentive awards. The NEOs were given the option to receive such amounts in the form of 100% cash, 100% fully vested RSUs, or 50% cash and 50% fully vested RSUs. All of the NEOs other than Mr. Hulls elected to receive 100% of their estimated annual incentive award in the form of fully vested RSUs. Mr. Hulls’ estimated annual incentive award was paid 100% in the form of cash. The remainder of the NEOs’ annual incentive awards were paid in cash after full-year performance was determined.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Final Annual Incentive Awards</w:t>
      </w:r>
    </w:p>
    <w:p>
      <w:pPr>
        <w:spacing w:after="0" w:line="117"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Based on Life360’s performance and the individual results described above, the NEOs earned the annual incentive awards shown below.</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Company Performance</w:t>
            </w: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340" w:type="dxa"/>
            <w:vAlign w:val="bottom"/>
          </w:tcPr>
          <w:p>
            <w:pPr>
              <w:spacing w:after="0"/>
              <w:rPr>
                <w:sz w:val="13"/>
                <w:szCs w:val="13"/>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Final Bonus</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Multiplier (50%)</w:t>
            </w:r>
          </w:p>
        </w:tc>
        <w:tc>
          <w:tcPr>
            <w:tcW w:w="34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Multiplier (50%)</w:t>
            </w:r>
          </w:p>
        </w:tc>
        <w:tc>
          <w:tcPr>
            <w:tcW w:w="3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02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$515,000</w:t>
            </w:r>
          </w:p>
        </w:tc>
        <w:tc>
          <w:tcPr>
            <w:tcW w:w="18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90%</w:t>
            </w:r>
          </w:p>
        </w:tc>
        <w:tc>
          <w:tcPr>
            <w:tcW w:w="1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$489,250</w:t>
            </w:r>
          </w:p>
        </w:tc>
        <w:tc>
          <w:tcPr>
            <w:tcW w:w="0" w:type="dxa"/>
            <w:vAlign w:val="bottom"/>
          </w:tcPr>
          <w:p>
            <w:pPr>
              <w:spacing w:after="0"/>
              <w:rPr>
                <w:sz w:val="1"/>
                <w:szCs w:val="1"/>
                <w:color w:val="auto"/>
              </w:rPr>
            </w:pP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0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7"/>
              </w:rPr>
              <w:t>$225,000</w:t>
            </w:r>
          </w:p>
        </w:tc>
        <w:tc>
          <w:tcPr>
            <w:tcW w:w="18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90%</w:t>
            </w:r>
          </w:p>
        </w:tc>
        <w:tc>
          <w:tcPr>
            <w:tcW w:w="1280" w:type="dxa"/>
            <w:vAlign w:val="bottom"/>
            <w:gridSpan w:val="2"/>
          </w:tcPr>
          <w:p>
            <w:pPr>
              <w:ind w:left="380"/>
              <w:spacing w:after="0" w:line="284" w:lineRule="exact"/>
              <w:rPr>
                <w:sz w:val="20"/>
                <w:szCs w:val="20"/>
                <w:color w:val="auto"/>
              </w:rPr>
            </w:pPr>
            <w:r>
              <w:rPr>
                <w:rFonts w:ascii="Times New Roman" w:cs="Times New Roman" w:eastAsia="Times New Roman" w:hAnsi="Times New Roman"/>
                <w:sz w:val="18"/>
                <w:szCs w:val="18"/>
                <w:color w:val="auto"/>
                <w:w w:val="97"/>
              </w:rPr>
              <w:t>$213,750</w:t>
            </w:r>
            <w:r>
              <w:rPr>
                <w:rFonts w:ascii="Times New Roman" w:cs="Times New Roman" w:eastAsia="Times New Roman" w:hAnsi="Times New Roman"/>
                <w:sz w:val="29"/>
                <w:szCs w:val="29"/>
                <w:color w:val="auto"/>
                <w:w w:val="97"/>
                <w:vertAlign w:val="superscript"/>
              </w:rPr>
              <w:t>(1)</w:t>
            </w:r>
          </w:p>
        </w:tc>
        <w:tc>
          <w:tcPr>
            <w:tcW w:w="0" w:type="dxa"/>
            <w:vAlign w:val="bottom"/>
          </w:tcPr>
          <w:p>
            <w:pPr>
              <w:spacing w:after="0"/>
              <w:rPr>
                <w:sz w:val="1"/>
                <w:szCs w:val="1"/>
                <w:color w:val="auto"/>
              </w:rPr>
            </w:pPr>
          </w:p>
        </w:tc>
      </w:tr>
      <w:tr>
        <w:trPr>
          <w:trHeight w:val="28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02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$237,500</w:t>
            </w:r>
          </w:p>
        </w:tc>
        <w:tc>
          <w:tcPr>
            <w:tcW w:w="18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90%</w:t>
            </w:r>
          </w:p>
        </w:tc>
        <w:tc>
          <w:tcPr>
            <w:tcW w:w="1280" w:type="dxa"/>
            <w:vAlign w:val="bottom"/>
            <w:gridSpan w:val="2"/>
            <w:shd w:val="clear" w:color="auto" w:fill="CCEEFF"/>
          </w:tcPr>
          <w:p>
            <w:pPr>
              <w:ind w:left="380"/>
              <w:spacing w:after="0" w:line="284" w:lineRule="exact"/>
              <w:rPr>
                <w:sz w:val="20"/>
                <w:szCs w:val="20"/>
                <w:color w:val="auto"/>
              </w:rPr>
            </w:pPr>
            <w:r>
              <w:rPr>
                <w:rFonts w:ascii="Times New Roman" w:cs="Times New Roman" w:eastAsia="Times New Roman" w:hAnsi="Times New Roman"/>
                <w:sz w:val="18"/>
                <w:szCs w:val="18"/>
                <w:color w:val="auto"/>
                <w:w w:val="97"/>
              </w:rPr>
              <w:t>$225,625</w:t>
            </w:r>
            <w:r>
              <w:rPr>
                <w:rFonts w:ascii="Times New Roman" w:cs="Times New Roman" w:eastAsia="Times New Roman" w:hAnsi="Times New Roman"/>
                <w:sz w:val="29"/>
                <w:szCs w:val="29"/>
                <w:color w:val="auto"/>
                <w:w w:val="97"/>
                <w:vertAlign w:val="superscript"/>
              </w:rPr>
              <w:t>(1)</w:t>
            </w:r>
          </w:p>
        </w:tc>
        <w:tc>
          <w:tcPr>
            <w:tcW w:w="0" w:type="dxa"/>
            <w:vAlign w:val="bottom"/>
          </w:tcPr>
          <w:p>
            <w:pPr>
              <w:spacing w:after="0"/>
              <w:rPr>
                <w:sz w:val="1"/>
                <w:szCs w:val="1"/>
                <w:color w:val="auto"/>
              </w:rPr>
            </w:pPr>
          </w:p>
        </w:tc>
      </w:tr>
      <w:tr>
        <w:trPr>
          <w:trHeight w:val="39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10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7"/>
              </w:rPr>
              <w:t>$136,000</w:t>
            </w:r>
          </w:p>
        </w:tc>
        <w:tc>
          <w:tcPr>
            <w:tcW w:w="18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3"/>
              </w:rPr>
              <w:t xml:space="preserve">$136,000 </w:t>
            </w:r>
            <w:r>
              <w:rPr>
                <w:rFonts w:ascii="Times New Roman" w:cs="Times New Roman" w:eastAsia="Times New Roman" w:hAnsi="Times New Roman"/>
                <w:sz w:val="29"/>
                <w:szCs w:val="29"/>
                <w:color w:val="auto"/>
                <w:w w:val="93"/>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right="359" w:hanging="348"/>
        <w:spacing w:after="0" w:line="233"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Mr. Burke, Ms. Antonoff and Ms. Stick do not include an additional $24,804, $28,768 and $14,991, respectively, that is included for them in the Stock Awards column of the 2024 Summary Compensation Table below, which amounts represent the excess of the grant date fair value of the RSUs that they received in November 2024 under the Life360 Compensation Plan for Board Directors and Company Leadership over the amount that they would have received their 2024 bonuses been settled in cash. This difference results from a delay in the grant date of such RSUs</w:t>
      </w:r>
      <w:r>
        <w:rPr>
          <w:rFonts w:ascii="Times New Roman" w:cs="Times New Roman" w:eastAsia="Times New Roman" w:hAnsi="Times New Roman"/>
          <w:sz w:val="14"/>
          <w:szCs w:val="14"/>
          <w:b w:val="1"/>
          <w:bCs w:val="1"/>
          <w:color w:val="auto"/>
        </w:rPr>
        <w:t>.</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Equity Incentive Awards</w:t>
      </w:r>
    </w:p>
    <w:p>
      <w:pPr>
        <w:spacing w:after="0" w:line="121" w:lineRule="exact"/>
        <w:rPr>
          <w:sz w:val="20"/>
          <w:szCs w:val="20"/>
          <w:color w:val="auto"/>
        </w:rPr>
      </w:pPr>
    </w:p>
    <w:p>
      <w:pPr>
        <w:ind w:left="300" w:right="459"/>
        <w:spacing w:after="0" w:line="270" w:lineRule="auto"/>
        <w:rPr>
          <w:sz w:val="20"/>
          <w:szCs w:val="20"/>
          <w:color w:val="auto"/>
        </w:rPr>
      </w:pPr>
      <w:r>
        <w:rPr>
          <w:rFonts w:ascii="Times New Roman" w:cs="Times New Roman" w:eastAsia="Times New Roman" w:hAnsi="Times New Roman"/>
          <w:sz w:val="17"/>
          <w:szCs w:val="17"/>
          <w:color w:val="auto"/>
        </w:rPr>
        <w:t>Our equity awards serve as a long-term retention tool, encouraging executives to remain with Life360 and build value over the long term. In 2024, the NEOs’ equity compensation (with the exception of Ms. Stick) was delivered in the form of performance-based RSUs and time-based RSUs, with performance-based RSUs making up 60% of Mr. Hulls’ equity compensation and 40% of the equity compensation for each of Mr. Burke and Ms. Antonoff.</w:t>
      </w:r>
    </w:p>
    <w:p>
      <w:pPr>
        <w:spacing w:after="0" w:line="3" w:lineRule="exact"/>
        <w:rPr>
          <w:sz w:val="20"/>
          <w:szCs w:val="20"/>
          <w:color w:val="auto"/>
        </w:rPr>
      </w:pPr>
    </w:p>
    <w:p>
      <w:pPr>
        <w:ind w:left="300" w:right="299"/>
        <w:spacing w:after="0" w:line="250" w:lineRule="auto"/>
        <w:rPr>
          <w:sz w:val="20"/>
          <w:szCs w:val="20"/>
          <w:color w:val="auto"/>
        </w:rPr>
      </w:pPr>
      <w:r>
        <w:rPr>
          <w:rFonts w:ascii="Times New Roman" w:cs="Times New Roman" w:eastAsia="Times New Roman" w:hAnsi="Times New Roman"/>
          <w:sz w:val="18"/>
          <w:szCs w:val="18"/>
          <w:color w:val="auto"/>
        </w:rPr>
        <w:t>Ms. Stick’s 2024 equity compensation was granted entirely in the form of time-based RSUs. With the introduction of PRSUs as a component of the long-term equity incentive opportunities for Messrs. Hulls and Burke and</w:t>
      </w:r>
    </w:p>
    <w:p>
      <w:pPr>
        <w:spacing w:after="0" w:line="1" w:lineRule="exact"/>
        <w:rPr>
          <w:sz w:val="20"/>
          <w:szCs w:val="20"/>
          <w:color w:val="auto"/>
        </w:rPr>
      </w:pPr>
    </w:p>
    <w:p>
      <w:pPr>
        <w:ind w:left="300" w:right="659"/>
        <w:spacing w:after="0" w:line="260" w:lineRule="auto"/>
        <w:rPr>
          <w:sz w:val="20"/>
          <w:szCs w:val="20"/>
          <w:color w:val="auto"/>
        </w:rPr>
      </w:pPr>
      <w:r>
        <w:rPr>
          <w:rFonts w:ascii="Times New Roman" w:cs="Times New Roman" w:eastAsia="Times New Roman" w:hAnsi="Times New Roman"/>
          <w:sz w:val="18"/>
          <w:szCs w:val="18"/>
          <w:color w:val="auto"/>
        </w:rPr>
        <w:t>Ms. Antonoff, there is a larger portion of their total direct compensation that is tied to Company performance, in addition to the amounts subject to the achievement of the performance goals under the annual incentive plan.</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2024 Target Equity Grants</w:t>
      </w:r>
    </w:p>
    <w:p>
      <w:pPr>
        <w:spacing w:after="0" w:line="117"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In 2024, the Compensation Committee granted equity awards to the NEOs in the form of RSUs and PRSUs in the amounts shown below.</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34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RSUs Target</w:t>
            </w:r>
          </w:p>
        </w:tc>
        <w:tc>
          <w:tcPr>
            <w:tcW w:w="3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 Target</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line="216" w:lineRule="exact"/>
              <w:rPr>
                <w:sz w:val="20"/>
                <w:szCs w:val="20"/>
                <w:color w:val="auto"/>
              </w:rPr>
            </w:pPr>
            <w:r>
              <w:rPr>
                <w:rFonts w:ascii="Times New Roman" w:cs="Times New Roman" w:eastAsia="Times New Roman" w:hAnsi="Times New Roman"/>
                <w:sz w:val="14"/>
                <w:szCs w:val="14"/>
                <w:b w:val="1"/>
                <w:bCs w:val="1"/>
                <w:color w:val="auto"/>
                <w:w w:val="94"/>
              </w:rPr>
              <w:t>Value</w:t>
            </w:r>
            <w:r>
              <w:rPr>
                <w:rFonts w:ascii="Times New Roman" w:cs="Times New Roman" w:eastAsia="Times New Roman" w:hAnsi="Times New Roman"/>
                <w:sz w:val="23"/>
                <w:szCs w:val="23"/>
                <w:b w:val="1"/>
                <w:bCs w:val="1"/>
                <w:color w:val="auto"/>
                <w:w w:val="94"/>
                <w:vertAlign w:val="superscript"/>
              </w:rPr>
              <w:t>(1)</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Based RSU#</w:t>
            </w:r>
          </w:p>
        </w:tc>
        <w:tc>
          <w:tcPr>
            <w:tcW w:w="34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Equity Value</w:t>
            </w:r>
            <w:r>
              <w:rPr>
                <w:rFonts w:ascii="Times New Roman" w:cs="Times New Roman" w:eastAsia="Times New Roman" w:hAnsi="Times New Roman"/>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0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40,885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1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61,328</w:t>
            </w:r>
          </w:p>
        </w:tc>
        <w:tc>
          <w:tcPr>
            <w:tcW w:w="158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$1,800,000</w:t>
            </w: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0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34,763</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18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23,175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0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46,350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1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30,900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39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r>
              <w:rPr>
                <w:rFonts w:ascii="Times New Roman" w:cs="Times New Roman" w:eastAsia="Times New Roman" w:hAnsi="Times New Roman"/>
                <w:sz w:val="29"/>
                <w:szCs w:val="29"/>
                <w:color w:val="auto"/>
                <w:vertAlign w:val="superscript"/>
              </w:rPr>
              <w:t>(2)</w:t>
            </w:r>
          </w:p>
        </w:tc>
        <w:tc>
          <w:tcPr>
            <w:tcW w:w="10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13,577</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right="579" w:hanging="348"/>
        <w:spacing w:after="0" w:line="236"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NEO equity awards, except for our Chief Executive Officer’s, the values noted below differ from those in the 2024 Summary Compensation Table because the closing price of our common stock on the ASX on each grant date was used to calculate the grant date fair values noted on the 2024 Summary Compensation Table rather than the five-day average fair market value preceding the grant date that was used to calculate the number of RSUs awarded to each executive.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Stick’s equity award was prorated to account for her start date of July 31, 2023.</w:t>
      </w:r>
    </w:p>
    <w:p>
      <w:pPr>
        <w:spacing w:after="0" w:line="100"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determining the aggregate number of shares underlying our equity awards, the Compensation Committee considers the dilutive effect of our equity incentive compensation practices and the overall impact that equity awards will have on stockholder value. The Compensation Committee also considered the value of each NEO’s existing equity holdings, including the current economic value and vesting schedules of any unvested equity awards, and the ability of those unvested holdings to satisfy our reward and retention objectives.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Terms of Performance-Based Restricted Stock Units</w:t>
      </w:r>
    </w:p>
    <w:p>
      <w:pPr>
        <w:spacing w:after="0" w:line="117"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Beginning in 2024, consistent with stockholder feedback, we introduced performance-based equity awards in the form of PRSUs as a component of long-term equity incentive compensation for Messrs. Hulls and Burke and</w:t>
      </w: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Ms. Antonoff. We limited the number of recipients of these awards in the inaugural year to give us the opportunity to refine the structure of the awards without impacting as many executives in the process and, thus, impairing our ability to satisfy our compensation objectives of attracting and retaining key talent. In future years, we will consider adding additional executive recipients, continuing to focus on those that have the greatest ability to influence the company performance to targets.</w:t>
      </w:r>
    </w:p>
    <w:p>
      <w:pPr>
        <w:spacing w:after="0" w:line="7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PRSUs granted to Messrs. Hulls and Burke and Ms. Antonoff were subject to the achievement of performance goals based on our 2024 revenue and Adjusted EBITDA performance, with each metric equally weighted and with 25% of any earned PRSUs scheduled to vest on the first quarterly vesting date following the Compensation Committee’s determination of performance, with the remaining 75% converting to time-based RSUs and vesting in twelve equal quarterly installments, subject to continued employment through each vesting date. Although performance is measured over a one-year period, in recognition of our transitioning to a PRSU program and the challenges associated with developing multi-year goals, the awards remain subject to a full four years of stock price fluctuations, further aligning the NEOs’ interests with the interests of our stockholders.</w:t>
      </w:r>
    </w:p>
    <w:p>
      <w:pPr>
        <w:spacing w:after="0" w:line="8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Achievement of threshold and maximum performance with respect to each metric would result in a payout equal to 90% and 200% of target, respectively. In addition, payouts with respect to the revenue metric would be capped at 100% of target if threshold performance was not achieved with respect to the Adjusted EBITDA metric. Payouts would increase by 1% for each additional 1% achieved above the applicable threshold level up to the applicable target level. For payouts above the applicable target level, payouts would increase by 3% for each additional 1% achieved above the applicable target level for the revenue metric, and by 2% for each additional 1% achieved above the applicable target level for the Adjusted EBITDA metric, subject to an overall cap of 200% of target.</w:t>
      </w:r>
    </w:p>
    <w:p>
      <w:pPr>
        <w:spacing w:after="0" w:line="8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Following the conclusion of the performance period for the 2024 PRSU awards, in February 2025, the Compensation Committee certified the achievement levels reflected in the table below for the PRSU awards granted to Messrs. Hull and Burke and Ms. Antonoff in 2024:</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00" w:type="dxa"/>
            <w:vAlign w:val="bottom"/>
            <w:gridSpan w:val="2"/>
            <w:vMerge w:val="restart"/>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 (in millions)</w:t>
            </w:r>
          </w:p>
        </w:tc>
        <w:tc>
          <w:tcPr>
            <w:tcW w:w="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48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Result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(50% Weighting)</w:t>
            </w:r>
          </w:p>
        </w:tc>
        <w:tc>
          <w:tcPr>
            <w:tcW w:w="90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9"/>
              </w:rPr>
              <w:t>$375</w:t>
            </w:r>
          </w:p>
        </w:tc>
        <w:tc>
          <w:tcPr>
            <w:tcW w:w="16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$371.484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3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(50% Weighting)</w:t>
            </w:r>
          </w:p>
        </w:tc>
        <w:tc>
          <w:tcPr>
            <w:tcW w:w="900" w:type="dxa"/>
            <w:vAlign w:val="bottom"/>
            <w:gridSpan w:val="2"/>
          </w:tcPr>
          <w:p>
            <w:pPr>
              <w:jc w:val="center"/>
              <w:ind w:left="416"/>
              <w:spacing w:after="0"/>
              <w:rPr>
                <w:sz w:val="20"/>
                <w:szCs w:val="20"/>
                <w:color w:val="auto"/>
              </w:rPr>
            </w:pPr>
            <w:r>
              <w:rPr>
                <w:rFonts w:ascii="Times New Roman" w:cs="Times New Roman" w:eastAsia="Times New Roman" w:hAnsi="Times New Roman"/>
                <w:sz w:val="18"/>
                <w:szCs w:val="18"/>
                <w:color w:val="auto"/>
                <w:w w:val="98"/>
              </w:rPr>
              <w:t>$33.6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Payout: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Appendix for additional information, including a reconciliation of Adjusted EBITDA to net loss.</w:t>
      </w:r>
    </w:p>
    <w:p>
      <w:pPr>
        <w:spacing w:after="0" w:line="100" w:lineRule="exact"/>
        <w:rPr>
          <w:sz w:val="20"/>
          <w:szCs w:val="20"/>
          <w:color w:val="auto"/>
        </w:rPr>
      </w:pPr>
    </w:p>
    <w:p>
      <w:pPr>
        <w:ind w:left="300" w:right="759"/>
        <w:spacing w:after="0" w:line="312" w:lineRule="auto"/>
        <w:rPr>
          <w:sz w:val="20"/>
          <w:szCs w:val="20"/>
          <w:color w:val="auto"/>
        </w:rPr>
      </w:pPr>
      <w:r>
        <w:rPr>
          <w:rFonts w:ascii="Times New Roman" w:cs="Times New Roman" w:eastAsia="Times New Roman" w:hAnsi="Times New Roman"/>
          <w:sz w:val="17"/>
          <w:szCs w:val="17"/>
          <w:color w:val="auto"/>
        </w:rPr>
        <w:t>Based on the achieved performance level, Messrs. Hulls and Burke and Ms. Antonoff are eligible to vest in the following number of shares, subject to their continued employment, 82,732, 31,264, and 41,685, respectively.</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Terms of Time-Based Restricted Stock Units</w:t>
      </w:r>
    </w:p>
    <w:p>
      <w:pPr>
        <w:spacing w:after="0" w:line="117" w:lineRule="exact"/>
        <w:rPr>
          <w:sz w:val="20"/>
          <w:szCs w:val="20"/>
          <w:color w:val="auto"/>
        </w:rPr>
      </w:pPr>
    </w:p>
    <w:p>
      <w:pPr>
        <w:ind w:left="300" w:right="659"/>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RSUs that vest over several years are effective at retaining talented executives and motivating them to continue to pursue Life360’s long-term goals because the value of RSUs is directly tied to our stock price. The RSUs granted in 2024 will vest over four years in equal monthly increments beginning on January 1, 2024, so long as the recipient remains in continuous service with Life360. Each RSU represents a contingent right to receive one share of our Common Stock upon vesting.</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One-Time Transaction Bonuses and RSU Award</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Following the completion of our U.S. IPO in June 2024, the Board determined to grant one-time transaction bonuses to certain individuals, including Messrs. Hulls and Burke and Ms. Stick, in recognition of the important roles they played in preparing and guiding the Company through the U.S. IPO. The Board approved transaction bonuses for Messrs. Hulls and Burke and Ms. Stick in the amounts of $400,000, $450,000, and $68,000, respectively. In addition, Ms. Stick was granted an RSU award with respect to 2,011 shares, which is scheduled to vest in equal monthly installments over two years, commencing on July 6, 2024, and subject to her continued service with the Company through each applicable vesting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Practices and Policies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Retirement Savings, Health and Welfare Benefits, and Perquisites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Our NEOs are not entitled to any perquisites or other personal benefits beyond those made generally available to our other employees, and in the case of our Chief Executive Officer, a health club reimbursement.</w:t>
      </w:r>
    </w:p>
    <w:p>
      <w:pPr>
        <w:spacing w:after="0" w:line="54"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the NEOs, with an opportunity to save for retirement on a tax advantaged basis. Eligible employees are able to defer eligible compensation up to certain limits in the Internal Revenue Code (the “Code”). We provide automatic matching contributions of 50% of all of an employee’s contributions, up to a maximum of $3,600 annually. These matching contributions vest 50% after one year of service and 100% after two years of service. Employees are immediately and fully vested in their own contributions. We believe that providing a vehicle for tax-deferred retirement savings and making matching contributions adds to the overall desirability of our executive compensation package and further incentivizes our employees, including our NEOs.</w:t>
      </w:r>
    </w:p>
    <w:p>
      <w:pPr>
        <w:spacing w:after="0" w:line="84" w:lineRule="exact"/>
        <w:rPr>
          <w:sz w:val="20"/>
          <w:szCs w:val="20"/>
          <w:color w:val="auto"/>
        </w:rPr>
      </w:pPr>
    </w:p>
    <w:p>
      <w:pPr>
        <w:ind w:left="300" w:right="819"/>
        <w:spacing w:after="0" w:line="312" w:lineRule="auto"/>
        <w:rPr>
          <w:sz w:val="20"/>
          <w:szCs w:val="20"/>
          <w:color w:val="auto"/>
        </w:rPr>
      </w:pPr>
      <w:r>
        <w:rPr>
          <w:rFonts w:ascii="Times New Roman" w:cs="Times New Roman" w:eastAsia="Times New Roman" w:hAnsi="Times New Roman"/>
          <w:sz w:val="17"/>
          <w:szCs w:val="17"/>
          <w:color w:val="auto"/>
        </w:rPr>
        <w:t>All of our full-time employees, including the NEOs, are eligible to participate in our health and welfare plans, including health, dental and vision insurance; life and disability insurance; and various tax-saving benefits.</w:t>
      </w:r>
    </w:p>
    <w:p>
      <w:pPr>
        <w:spacing w:after="0" w:line="32"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We do not provide any non-qualified deferred compensation benefits and do not have any defined benefit pension or supplemental executive retirement plans. The Company does not provide tax-reimbursements or non-qualified deferred compensation opportunities to its NEOs.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We entered into employment agreements with each of our NEOs when they joined Life360. Each agreement provides for “at will” employment (meaning either Life360 or the NEO may terminate the employment relationship at any time with or without cause); sets forth the initial title and base salary for the executive; and summarizes the other terms and conditions applicable to the executive’s employment.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 xml:space="preserve">Our NEOs are provided certain protections either in their employment agreement or the terms of the Company’s 2023 Severance and Change in Control Plan. In March 2024, both Mr. Hulls and Mr. Burke became participants in the 2023 Severance and Change in Control Plan. For additional information, refer to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Potential Payments and Benefits Upon Termination or Change in Control” </w:t>
      </w:r>
      <w:r>
        <w:rPr>
          <w:rFonts w:ascii="Times New Roman" w:cs="Times New Roman" w:eastAsia="Times New Roman" w:hAnsi="Times New Roman"/>
          <w:sz w:val="18"/>
          <w:szCs w:val="18"/>
          <w:color w:val="auto"/>
        </w:rPr>
        <w:t>below.</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00" w:right="679"/>
        <w:spacing w:after="0" w:line="281" w:lineRule="auto"/>
        <w:rPr>
          <w:sz w:val="20"/>
          <w:szCs w:val="20"/>
          <w:color w:val="auto"/>
        </w:rPr>
      </w:pPr>
      <w:r>
        <w:rPr>
          <w:rFonts w:ascii="Times New Roman" w:cs="Times New Roman" w:eastAsia="Times New Roman" w:hAnsi="Times New Roman"/>
          <w:sz w:val="17"/>
          <w:szCs w:val="17"/>
          <w:color w:val="auto"/>
        </w:rPr>
        <w:t>The Compensation Committee has reviewed and discussed with management the Compensation Discussion and Analysis (“CD&amp;A”) contained in this Proxy Statement. Based on this review and discussion, the Compensation Committee has recommended to the Board of Directors that the CD&amp;A be included in this Proxy Statement and incorporated into the Company’s Annual Report on Form 10-K for the fiscal year ended December 31, 2024.</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Mark Goines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Philip Coghlan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Brittany Morin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40005</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8" w:lineRule="exact"/>
        <w:rPr>
          <w:sz w:val="20"/>
          <w:szCs w:val="20"/>
          <w:color w:val="auto"/>
        </w:rPr>
      </w:pPr>
    </w:p>
    <w:p>
      <w:pPr>
        <w:ind w:left="640" w:right="299" w:hanging="348"/>
        <w:spacing w:after="0" w:line="236"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in this report is not “soliciting material,” is not deemed “filed” with the Commission, and is not deemed to be incorporated by reference in any filing of the Company under the Securities Act or the Exchange Act, other than the Company’s Annual Report on Form 10-K, where it shall be deemed to be “furnished,” whether made before or after the date hereof and irrespective of any general incorporation language in any such filing.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21"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2024, 2023, and, to the extent required by the SEC rules, 2022 compensation awarded to or paid to, or earned by, the NEOs.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9"/>
                <w:szCs w:val="19"/>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41"/>
              <w:spacing w:after="0" w:line="2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(4)</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 Hulls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515,000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2,999,952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489,250</w:t>
            </w:r>
          </w:p>
        </w:tc>
        <w:tc>
          <w:tcPr>
            <w:tcW w:w="10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8,600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4,412,802</w:t>
            </w: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Co-Founder, Executive</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904,000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507,200</w:t>
            </w:r>
          </w:p>
        </w:tc>
        <w:tc>
          <w:tcPr>
            <w:tcW w:w="10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1,914,800</w:t>
            </w:r>
          </w:p>
        </w:tc>
        <w:tc>
          <w:tcPr>
            <w:tcW w:w="0" w:type="dxa"/>
            <w:vAlign w:val="bottom"/>
          </w:tcPr>
          <w:p>
            <w:pPr>
              <w:spacing w:after="0"/>
              <w:rPr>
                <w:sz w:val="1"/>
                <w:szCs w:val="1"/>
                <w:color w:val="auto"/>
              </w:rPr>
            </w:pPr>
          </w:p>
        </w:tc>
      </w:tr>
      <w:tr>
        <w:trPr>
          <w:trHeight w:val="202"/>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Director, &amp; Chief</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566,912</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2,309,293</w:t>
            </w:r>
          </w:p>
        </w:tc>
        <w:tc>
          <w:tcPr>
            <w:tcW w:w="10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552,000</w:t>
            </w:r>
          </w:p>
        </w:tc>
        <w:tc>
          <w:tcPr>
            <w:tcW w:w="104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4,400</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3,932,605</w:t>
            </w:r>
          </w:p>
        </w:tc>
        <w:tc>
          <w:tcPr>
            <w:tcW w:w="0" w:type="dxa"/>
            <w:vAlign w:val="bottom"/>
          </w:tcPr>
          <w:p>
            <w:pPr>
              <w:spacing w:after="0"/>
              <w:rPr>
                <w:sz w:val="1"/>
                <w:szCs w:val="1"/>
                <w:color w:val="auto"/>
              </w:rPr>
            </w:pPr>
          </w:p>
        </w:tc>
      </w:tr>
      <w:tr>
        <w:trPr>
          <w:trHeight w:val="89"/>
        </w:trPr>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Executive Officer</w:t>
            </w:r>
          </w:p>
        </w:tc>
        <w:tc>
          <w:tcPr>
            <w:tcW w:w="12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780" w:type="dxa"/>
            <w:vAlign w:val="bottom"/>
            <w:gridSpan w:val="3"/>
            <w:vMerge w:val="continue"/>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 w:type="dxa"/>
            <w:vAlign w:val="bottom"/>
            <w:tcBorders>
              <w:bottom w:val="single" w:sz="8" w:color="CCEEFF"/>
            </w:tcBorders>
            <w:vMerge w:val="continue"/>
            <w:shd w:val="clear" w:color="auto" w:fill="CCEEFF"/>
          </w:tcPr>
          <w:p>
            <w:pPr>
              <w:spacing w:after="0"/>
              <w:rPr>
                <w:sz w:val="11"/>
                <w:szCs w:val="11"/>
                <w:color w:val="auto"/>
              </w:rPr>
            </w:pPr>
          </w:p>
        </w:tc>
        <w:tc>
          <w:tcPr>
            <w:tcW w:w="206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Russell Burke</w:t>
            </w:r>
          </w:p>
        </w:tc>
        <w:tc>
          <w:tcPr>
            <w:tcW w:w="12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450,000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1,483,683</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213,750</w:t>
            </w:r>
          </w:p>
        </w:tc>
        <w:tc>
          <w:tcPr>
            <w:tcW w:w="10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2,601,033</w:t>
            </w:r>
          </w:p>
        </w:tc>
        <w:tc>
          <w:tcPr>
            <w:tcW w:w="0" w:type="dxa"/>
            <w:vAlign w:val="bottom"/>
          </w:tcPr>
          <w:p>
            <w:pPr>
              <w:spacing w:after="0"/>
              <w:rPr>
                <w:sz w:val="1"/>
                <w:szCs w:val="1"/>
                <w:color w:val="auto"/>
              </w:rPr>
            </w:pPr>
          </w:p>
        </w:tc>
      </w:tr>
      <w:tr>
        <w:trPr>
          <w:trHeight w:val="251"/>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400,000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1,660,947</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220,000</w:t>
            </w:r>
          </w:p>
        </w:tc>
        <w:tc>
          <w:tcPr>
            <w:tcW w:w="10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2,284,547</w:t>
            </w:r>
          </w:p>
        </w:tc>
        <w:tc>
          <w:tcPr>
            <w:tcW w:w="0" w:type="dxa"/>
            <w:vAlign w:val="bottom"/>
          </w:tcPr>
          <w:p>
            <w:pPr>
              <w:spacing w:after="0"/>
              <w:rPr>
                <w:sz w:val="1"/>
                <w:szCs w:val="1"/>
                <w:color w:val="auto"/>
              </w:rPr>
            </w:pPr>
          </w:p>
        </w:tc>
      </w:tr>
      <w:tr>
        <w:trPr>
          <w:trHeight w:val="33"/>
        </w:trPr>
        <w:tc>
          <w:tcPr>
            <w:tcW w:w="216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7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 Antonoff</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475,000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1,973,923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225,625</w:t>
            </w:r>
          </w:p>
        </w:tc>
        <w:tc>
          <w:tcPr>
            <w:tcW w:w="10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2,678,148</w:t>
            </w:r>
          </w:p>
        </w:tc>
        <w:tc>
          <w:tcPr>
            <w:tcW w:w="0" w:type="dxa"/>
            <w:vAlign w:val="bottom"/>
          </w:tcPr>
          <w:p>
            <w:pPr>
              <w:spacing w:after="0"/>
              <w:rPr>
                <w:sz w:val="1"/>
                <w:szCs w:val="1"/>
                <w:color w:val="auto"/>
              </w:rPr>
            </w:pPr>
          </w:p>
        </w:tc>
      </w:tr>
      <w:tr>
        <w:trPr>
          <w:trHeight w:val="264"/>
        </w:trPr>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Chief Operating Officer</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298,295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4,846,904</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157,932</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5,386,731</w:t>
            </w:r>
          </w:p>
        </w:tc>
        <w:tc>
          <w:tcPr>
            <w:tcW w:w="0" w:type="dxa"/>
            <w:vAlign w:val="bottom"/>
          </w:tcPr>
          <w:p>
            <w:pPr>
              <w:spacing w:after="0"/>
              <w:rPr>
                <w:sz w:val="1"/>
                <w:szCs w:val="1"/>
                <w:color w:val="auto"/>
              </w:rPr>
            </w:pPr>
          </w:p>
        </w:tc>
      </w:tr>
      <w:tr>
        <w:trPr>
          <w:trHeight w:val="202"/>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Susan Stick</w:t>
            </w:r>
          </w:p>
        </w:tc>
        <w:tc>
          <w:tcPr>
            <w:tcW w:w="12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340,000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437,214</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136,000</w:t>
            </w:r>
          </w:p>
        </w:tc>
        <w:tc>
          <w:tcPr>
            <w:tcW w:w="10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984,814</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General Counsel and</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6"/>
              </w:rPr>
              <w:t>111,111</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1,503,974</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44,555</w:t>
            </w:r>
          </w:p>
        </w:tc>
        <w:tc>
          <w:tcPr>
            <w:tcW w:w="10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1,703,240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Corporate Secretary</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192405</wp:posOffset>
            </wp:positionV>
            <wp:extent cx="822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7" w:lineRule="exact"/>
        <w:rPr>
          <w:sz w:val="20"/>
          <w:szCs w:val="20"/>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salary earned during the applicable calendar year.</w:t>
      </w:r>
    </w:p>
    <w:p>
      <w:pPr>
        <w:spacing w:after="0" w:line="41"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reflected for Messrs. Hull and Burke and Ms. Stick for 2024 represent one-time transaction bonuses in the amounts of $400,000, $450,000, and $68,000, respectively, which were paid following the completion of our U.S. IPO in June 2024.</w:t>
      </w:r>
    </w:p>
    <w:p>
      <w:pPr>
        <w:ind w:left="640" w:right="359" w:hanging="348"/>
        <w:spacing w:after="0" w:line="227"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awards and RSU awards are reported at aggregate grant date fair value in the year of grant, as determined in accordance with the provisions of FASB ASC Topic 718. The amounts reflected for Mr. Burke, Ms. Antonoff and Ms. Stick for 2024 also reflect $24,804, $28,768 and $14,991, respectively, representing the excess of the grant date fair value of the RSUs that they received in November 2024 under the Life360 Compensation Plan for Board Directors and Company Leadership over the amount that they would have received had their 2024 bonuses been settled in cash. This difference results from a delay in the grant date of such RSUs. The amounts included in the Stock Awards column for the PRSUs granted during 2024 are calculated based on the probable satisfaction of the performance conditions for such awards as of the date of grant. Assuming the highest level of performance is achieved for the 2024 PRSUs, the maximum grant date fair value for the 2024 PRSUs would be as follows: Mr. Hulls, $3,600,000; Mr. Burke, $1,200,000; and Ms. Antonoff, $1,600,000. For the assumptions used in valuing these awards for purposes of computing this expense, please see Note 13 of the financial statements in the Company’s Annual Report on Form 10-K for the fiscal year ended December 31, 2024.</w:t>
      </w:r>
    </w:p>
    <w:p>
      <w:pPr>
        <w:spacing w:after="0" w:line="16"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cash bonus amounts earned pursuant to the Life360 Compensation Plan for Board Directors and Company Leadership, discussed in greater detail below.</w:t>
      </w:r>
    </w:p>
    <w:p>
      <w:pPr>
        <w:ind w:left="640" w:right="3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amounts reflect company 401(k) contributions of $3,600 per individual. For our Chief Executive Officer, the amount reflected for 2024 also reflects a health club reimbursement provided by the Company.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2024 Summary Compensation Table</w:t>
      </w:r>
    </w:p>
    <w:p>
      <w:pPr>
        <w:spacing w:after="0" w:line="121"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We are parties to employment agreements with each of our NEOs. Under each of the employment agreements, the named executive officer’s employment is “at-will,” provided that, in the case of Messrs. Hulls and Burke and</w:t>
      </w: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Ms. Antonoff, we are required to give the executive at least six (6) months’ notice in the event of our termination of the executive’s employment without Cause (as defined in “</w:t>
      </w:r>
      <w:r>
        <w:rPr>
          <w:rFonts w:ascii="Times New Roman" w:cs="Times New Roman" w:eastAsia="Times New Roman" w:hAnsi="Times New Roman"/>
          <w:sz w:val="18"/>
          <w:szCs w:val="18"/>
          <w:i w:val="1"/>
          <w:iCs w:val="1"/>
          <w:color w:val="auto"/>
        </w:rPr>
        <w:t>Potential Payments and Benefits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below), which excludes terminations due to death or disability, and the executive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our Board six (6) months’ notice to terminate employment voluntarily, although our Board may waive the required notice period to be given by the executive. The agreements provide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8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addition, under the terms of Ms. Antonoff’s employment agreement, Ms. Antonoff is eligible for a refresh RSU award in the amount of $2 million on the first anniversary of her employment and an additional refresh RSU award in the amount of $2 million on the second anniversary of her employment, which she received in 2024 in the form of RSUs and PRSUs.. Each of the refresh RSU awards will vest over four years in equal monthly installments, contingent upon her continuous employment with the Company through each such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G</w:t>
      </w:r>
      <w:r>
        <w:rPr>
          <w:rFonts w:ascii="Times New Roman" w:cs="Times New Roman" w:eastAsia="Times New Roman" w:hAnsi="Times New Roman"/>
          <w:sz w:val="12"/>
          <w:szCs w:val="12"/>
          <w:b w:val="1"/>
          <w:bCs w:val="1"/>
          <w:color w:val="auto"/>
        </w:rPr>
        <w:t>rants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ased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p>
    <w:p>
      <w:pPr>
        <w:spacing w:after="0" w:line="121"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grants of plan-based awards to the NEOs: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2024</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9"/>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Future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4"/>
          </w:tcPr>
          <w:p>
            <w:pPr>
              <w:jc w:val="center"/>
              <w:ind w:right="4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Fair</w:t>
            </w: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Payouts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Future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Payouts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 and</w:t>
            </w: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5"/>
          </w:tcPr>
          <w:p>
            <w:pPr>
              <w:jc w:val="center"/>
              <w:ind w:right="3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100" w:type="dxa"/>
            <w:vAlign w:val="bottom"/>
          </w:tcPr>
          <w:p>
            <w:pPr>
              <w:spacing w:after="0"/>
              <w:rPr>
                <w:sz w:val="11"/>
                <w:szCs w:val="11"/>
                <w:color w:val="auto"/>
              </w:rPr>
            </w:pPr>
          </w:p>
        </w:tc>
        <w:tc>
          <w:tcPr>
            <w:tcW w:w="166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 Equity</w:t>
            </w: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r>
      <w:tr>
        <w:trPr>
          <w:trHeight w:val="135"/>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Approval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5"/>
          </w:tcPr>
          <w:p>
            <w:pPr>
              <w:jc w:val="center"/>
              <w:ind w:right="3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203"/>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7"/>
                <w:szCs w:val="17"/>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7"/>
                <w:szCs w:val="17"/>
                <w:color w:val="auto"/>
              </w:rPr>
            </w:pP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3"/>
          </w:tcPr>
          <w:p>
            <w:pPr>
              <w:jc w:val="center"/>
              <w:spacing w:after="0" w:line="203" w:lineRule="exact"/>
              <w:rPr>
                <w:sz w:val="20"/>
                <w:szCs w:val="20"/>
                <w:color w:val="auto"/>
              </w:rPr>
            </w:pPr>
            <w:r>
              <w:rPr>
                <w:rFonts w:ascii="Times New Roman" w:cs="Times New Roman" w:eastAsia="Times New Roman" w:hAnsi="Times New Roman"/>
                <w:sz w:val="13"/>
                <w:szCs w:val="13"/>
                <w:b w:val="1"/>
                <w:bCs w:val="1"/>
                <w:color w:val="auto"/>
                <w:w w:val="91"/>
              </w:rPr>
              <w:t>Awards</w:t>
            </w:r>
            <w:r>
              <w:rPr>
                <w:rFonts w:ascii="Times New Roman" w:cs="Times New Roman" w:eastAsia="Times New Roman" w:hAnsi="Times New Roman"/>
                <w:sz w:val="20"/>
                <w:szCs w:val="20"/>
                <w:b w:val="1"/>
                <w:bCs w:val="1"/>
                <w:color w:val="auto"/>
                <w:w w:val="91"/>
                <w:vertAlign w:val="superscript"/>
              </w:rPr>
              <w:t>(1)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5"/>
          </w:tcPr>
          <w:p>
            <w:pPr>
              <w:jc w:val="center"/>
              <w:spacing w:after="0" w:line="203" w:lineRule="exact"/>
              <w:rPr>
                <w:sz w:val="20"/>
                <w:szCs w:val="20"/>
                <w:color w:val="auto"/>
              </w:rPr>
            </w:pPr>
            <w:r>
              <w:rPr>
                <w:rFonts w:ascii="Times New Roman" w:cs="Times New Roman" w:eastAsia="Times New Roman" w:hAnsi="Times New Roman"/>
                <w:sz w:val="13"/>
                <w:szCs w:val="13"/>
                <w:b w:val="1"/>
                <w:bCs w:val="1"/>
                <w:color w:val="auto"/>
                <w:w w:val="93"/>
              </w:rPr>
              <w:t>Plan Awards</w:t>
            </w:r>
            <w:r>
              <w:rPr>
                <w:rFonts w:ascii="Times New Roman" w:cs="Times New Roman" w:eastAsia="Times New Roman" w:hAnsi="Times New Roman"/>
                <w:sz w:val="20"/>
                <w:szCs w:val="20"/>
                <w:b w:val="1"/>
                <w:bCs w:val="1"/>
                <w:color w:val="auto"/>
                <w:w w:val="93"/>
                <w:vertAlign w:val="superscript"/>
              </w:rPr>
              <w:t>(2)</w:t>
            </w:r>
          </w:p>
        </w:tc>
        <w:tc>
          <w:tcPr>
            <w:tcW w:w="560" w:type="dxa"/>
            <w:vAlign w:val="bottom"/>
            <w:gridSpan w:val="2"/>
          </w:tcPr>
          <w:p>
            <w:pPr>
              <w:jc w:val="center"/>
              <w:ind w:left="18"/>
              <w:spacing w:after="0" w:line="202" w:lineRule="exact"/>
              <w:rPr>
                <w:sz w:val="20"/>
                <w:szCs w:val="20"/>
                <w:color w:val="auto"/>
              </w:rPr>
            </w:pPr>
            <w:r>
              <w:rPr>
                <w:rFonts w:ascii="Times New Roman" w:cs="Times New Roman" w:eastAsia="Times New Roman" w:hAnsi="Times New Roman"/>
                <w:sz w:val="23"/>
                <w:szCs w:val="23"/>
                <w:b w:val="1"/>
                <w:bCs w:val="1"/>
                <w:color w:val="auto"/>
                <w:w w:val="94"/>
                <w:vertAlign w:val="subscript"/>
              </w:rPr>
              <w:t>(#)</w:t>
            </w:r>
            <w:r>
              <w:rPr>
                <w:rFonts w:ascii="Times New Roman" w:cs="Times New Roman" w:eastAsia="Times New Roman" w:hAnsi="Times New Roman"/>
                <w:sz w:val="10"/>
                <w:szCs w:val="10"/>
                <w:b w:val="1"/>
                <w:bCs w:val="1"/>
                <w:color w:val="auto"/>
                <w:w w:val="94"/>
              </w:rPr>
              <w:t>(3)</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660" w:type="dxa"/>
            <w:vAlign w:val="bottom"/>
            <w:gridSpan w:val="2"/>
          </w:tcPr>
          <w:p>
            <w:pPr>
              <w:jc w:val="center"/>
              <w:ind w:left="18"/>
              <w:spacing w:after="0" w:line="202" w:lineRule="exact"/>
              <w:rPr>
                <w:sz w:val="20"/>
                <w:szCs w:val="20"/>
                <w:color w:val="auto"/>
              </w:rPr>
            </w:pPr>
            <w:r>
              <w:rPr>
                <w:rFonts w:ascii="Times New Roman" w:cs="Times New Roman" w:eastAsia="Times New Roman" w:hAnsi="Times New Roman"/>
                <w:sz w:val="23"/>
                <w:szCs w:val="23"/>
                <w:b w:val="1"/>
                <w:bCs w:val="1"/>
                <w:color w:val="auto"/>
                <w:w w:val="87"/>
                <w:vertAlign w:val="subscript"/>
              </w:rPr>
              <w:t>($)</w:t>
            </w:r>
            <w:r>
              <w:rPr>
                <w:rFonts w:ascii="Times New Roman" w:cs="Times New Roman" w:eastAsia="Times New Roman" w:hAnsi="Times New Roman"/>
                <w:sz w:val="10"/>
                <w:szCs w:val="10"/>
                <w:b w:val="1"/>
                <w:bCs w:val="1"/>
                <w:color w:val="auto"/>
                <w:w w:val="87"/>
              </w:rPr>
              <w:t>(4)</w:t>
            </w:r>
          </w:p>
        </w:tc>
      </w:tr>
      <w:tr>
        <w:trPr>
          <w:trHeight w:val="135"/>
        </w:trPr>
        <w:tc>
          <w:tcPr>
            <w:tcW w:w="1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top w:val="single" w:sz="8" w:color="auto"/>
            </w:tcBorders>
            <w:gridSpan w:val="5"/>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Threshold  Target</w:t>
            </w:r>
          </w:p>
        </w:tc>
        <w:tc>
          <w:tcPr>
            <w:tcW w:w="5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 w:type="dxa"/>
            <w:vAlign w:val="bottom"/>
          </w:tcPr>
          <w:p>
            <w:pPr>
              <w:spacing w:after="0"/>
              <w:rPr>
                <w:sz w:val="11"/>
                <w:szCs w:val="11"/>
                <w:color w:val="auto"/>
              </w:rPr>
            </w:pPr>
          </w:p>
        </w:tc>
        <w:tc>
          <w:tcPr>
            <w:tcW w:w="5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center"/>
              <w:ind w:right="80"/>
              <w:spacing w:after="0" w:line="136"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58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66"/>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9"/>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7"/>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Chris Hulls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515,000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1,030,000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40,885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1,199,975</w:t>
            </w:r>
          </w:p>
        </w:tc>
      </w:tr>
      <w:tr>
        <w:trPr>
          <w:trHeight w:val="205"/>
        </w:trPr>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55,195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122,656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1,799,977</w:t>
            </w:r>
          </w:p>
        </w:tc>
      </w:tr>
      <w:tr>
        <w:trPr>
          <w:trHeight w:val="17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Russell Burke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10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8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34,763</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875,332</w:t>
            </w:r>
          </w:p>
        </w:tc>
      </w:tr>
      <w:tr>
        <w:trPr>
          <w:trHeight w:val="189"/>
        </w:trPr>
        <w:tc>
          <w:tcPr>
            <w:tcW w:w="10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8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20,857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23,175</w:t>
            </w: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46,350</w:t>
            </w:r>
          </w:p>
        </w:tc>
        <w:tc>
          <w:tcPr>
            <w:tcW w:w="8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583,547</w:t>
            </w:r>
          </w:p>
        </w:tc>
      </w:tr>
      <w:tr>
        <w:trPr>
          <w:trHeight w:val="197"/>
        </w:trPr>
        <w:tc>
          <w:tcPr>
            <w:tcW w:w="10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11/15/2024</w:t>
            </w:r>
          </w:p>
        </w:tc>
        <w:tc>
          <w:tcPr>
            <w:tcW w:w="80" w:type="dxa"/>
            <w:vAlign w:val="bottom"/>
          </w:tcPr>
          <w:p>
            <w:pPr>
              <w:spacing w:after="0"/>
              <w:rPr>
                <w:sz w:val="17"/>
                <w:szCs w:val="17"/>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591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24,804</w:t>
            </w:r>
          </w:p>
        </w:tc>
      </w:tr>
      <w:tr>
        <w:trPr>
          <w:trHeight w:val="181"/>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Lauren Antonoff</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237,500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46,350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1,167,093</w:t>
            </w:r>
          </w:p>
        </w:tc>
      </w:tr>
      <w:tr>
        <w:trPr>
          <w:trHeight w:val="189"/>
        </w:trPr>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3/27/2024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27,810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61,800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778,062</w:t>
            </w:r>
          </w:p>
        </w:tc>
      </w:tr>
      <w:tr>
        <w:trPr>
          <w:trHeight w:val="205"/>
        </w:trPr>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11/15/2024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11/15/2024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28,768</w:t>
            </w:r>
          </w:p>
        </w:tc>
      </w:tr>
      <w:tr>
        <w:trPr>
          <w:trHeight w:val="17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Susan Stick</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136,000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272,000</w:t>
            </w: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10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4/14/2024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4/14//2024</w:t>
            </w:r>
          </w:p>
        </w:tc>
        <w:tc>
          <w:tcPr>
            <w:tcW w:w="8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13,577</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357,469</w:t>
            </w:r>
          </w:p>
        </w:tc>
      </w:tr>
      <w:tr>
        <w:trPr>
          <w:trHeight w:val="189"/>
        </w:trPr>
        <w:tc>
          <w:tcPr>
            <w:tcW w:w="10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7/7/2024</w:t>
            </w:r>
          </w:p>
        </w:tc>
        <w:tc>
          <w:tcPr>
            <w:tcW w:w="8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64,754</w:t>
            </w:r>
          </w:p>
        </w:tc>
      </w:tr>
      <w:tr>
        <w:trPr>
          <w:trHeight w:val="189"/>
        </w:trPr>
        <w:tc>
          <w:tcPr>
            <w:tcW w:w="10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11/15/2024</w:t>
            </w:r>
          </w:p>
        </w:tc>
        <w:tc>
          <w:tcPr>
            <w:tcW w:w="8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357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189865</wp:posOffset>
            </wp:positionV>
            <wp:extent cx="822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4" w:lineRule="exact"/>
        <w:rPr>
          <w:sz w:val="20"/>
          <w:szCs w:val="20"/>
          <w:color w:val="auto"/>
        </w:rPr>
      </w:pPr>
    </w:p>
    <w:p>
      <w:pPr>
        <w:ind w:left="640" w:right="479" w:hanging="348"/>
        <w:spacing w:after="0" w:line="24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target and maximum payout levels under the Life360 Compensation Plan for Board Directors and Company Leadership for 2024. There is no threshold payout level under the Life360 Compensation Plan for Board Directors and Company Leadership.</w:t>
      </w:r>
    </w:p>
    <w:p>
      <w:pPr>
        <w:spacing w:after="0" w:line="14"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threshold, target and maximum payout levels applicable to the PRSUs granted under the Stock Plan in 2024 to Messrs. Hulls and Burke and Ms. Antonoff. These PRSUs were earned based on achievement with respect to performance metrics related to the Company’s revenue and Adjusted EBITDA performance during 2024, and vest 25% on the first quarterly vesting date following the Compensation Committee’s determination of actual performance (February 15, 2025), and in twelve equal quarterly installments thereafter, subject to the holder’s continued service on each vesting date.</w:t>
      </w:r>
    </w:p>
    <w:p>
      <w:pPr>
        <w:spacing w:after="0" w:line="15" w:lineRule="exact"/>
        <w:rPr>
          <w:rFonts w:ascii="Times New Roman" w:cs="Times New Roman" w:eastAsia="Times New Roman" w:hAnsi="Times New Roman"/>
          <w:sz w:val="14"/>
          <w:szCs w:val="14"/>
          <w:color w:val="auto"/>
        </w:rPr>
      </w:pPr>
    </w:p>
    <w:p>
      <w:pPr>
        <w:ind w:left="640" w:right="419" w:hanging="348"/>
        <w:spacing w:after="0" w:line="233"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RSUs granted to the NEOs under the Stock Plan in 2024. The RSUs vest in equal monthly installments over four years beginning on January 1, 2024, subject to the holder’s continued service on each vesting date, except for the RSUs granted to</w:t>
      </w:r>
    </w:p>
    <w:p>
      <w:pPr>
        <w:ind w:left="640" w:right="4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Stick on July 7, 2024, which vest in equal monthly installments over two years from June 6, 2024, subject to her continued service on each vesting date and the RSUs granted on November 15, 2024 which were fully vested as of the grant date and represent the RSUs associated with the excess of the grant date fair value of the RSUs received in November 2024 under the Life360 Compensation Plan for Board of Directors and Company Leadership over the amount that the NEO would have received had their 2024 bonuses been settled in cash.</w:t>
      </w:r>
    </w:p>
    <w:p>
      <w:pPr>
        <w:spacing w:after="0" w:line="136" w:lineRule="exact"/>
        <w:rPr>
          <w:rFonts w:ascii="Times New Roman" w:cs="Times New Roman" w:eastAsia="Times New Roman" w:hAnsi="Times New Roman"/>
          <w:sz w:val="14"/>
          <w:szCs w:val="14"/>
          <w:color w:val="auto"/>
        </w:rPr>
      </w:pPr>
    </w:p>
    <w:p>
      <w:pPr>
        <w:ind w:left="640" w:right="479" w:hanging="348"/>
        <w:spacing w:after="0" w:line="233"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awards are reported at aggregate grant date fair value in the year of grant, as determined in accordance with the provisions of FASB ASC Topic 718. The amounts included for the PRSUs granted during 2024 are calculated based on the probable satisfaction of the performance conditions for such awards as of the date of grant. For the assumptions used in valuing these awards for purposes of computing this expense, please see Note 13 of the financial statements in the Company’s Annual Report on Form 10-K for the fiscal year ended December 31,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at</w:t>
      </w:r>
      <w:r>
        <w:rPr>
          <w:rFonts w:ascii="Times New Roman" w:cs="Times New Roman" w:eastAsia="Times New Roman" w:hAnsi="Times New Roman"/>
          <w:sz w:val="18"/>
          <w:szCs w:val="18"/>
          <w:b w:val="1"/>
          <w:bCs w:val="1"/>
          <w:color w:val="auto"/>
        </w:rPr>
        <w:t xml:space="preserve"> 2024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nd</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outstanding equity awards at fiscal year-end for the NEOs.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r>
        <w:rPr>
          <w:rFonts w:ascii="Times New Roman" w:cs="Times New Roman" w:eastAsia="Times New Roman" w:hAnsi="Times New Roman"/>
          <w:sz w:val="29"/>
          <w:szCs w:val="29"/>
          <w:b w:val="1"/>
          <w:bCs w:val="1"/>
          <w:color w:val="auto"/>
          <w:vertAlign w:val="superscript"/>
        </w:rPr>
        <w:t>(1)</w:t>
      </w:r>
    </w:p>
    <w:p>
      <w:pPr>
        <w:spacing w:after="0" w:line="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0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unexercisable   price ($)</w:t>
            </w:r>
          </w:p>
        </w:tc>
        <w:tc>
          <w:tcPr>
            <w:tcW w:w="1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40" w:type="dxa"/>
            <w:vAlign w:val="bottom"/>
            <w:gridSpan w:val="2"/>
          </w:tcPr>
          <w:p>
            <w:pPr>
              <w:jc w:val="center"/>
              <w:ind w:left="111"/>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237"/>
        </w:trPr>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20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97"/>
              </w:rPr>
              <w:t>10/24/2017</w:t>
            </w:r>
          </w:p>
        </w:tc>
        <w:tc>
          <w:tcPr>
            <w:tcW w:w="18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208,987</w:t>
            </w:r>
          </w:p>
        </w:tc>
        <w:tc>
          <w:tcPr>
            <w:tcW w:w="20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10/24/2027</w:t>
            </w:r>
          </w:p>
        </w:tc>
        <w:tc>
          <w:tcPr>
            <w:tcW w:w="20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7/16/2018</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1,269,386</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7/16/2028</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97"/>
              </w:rPr>
              <w:t>10/30/2018</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10/30/2028</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7/30/2020</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7/30/2030</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96" w:lineRule="exact"/>
              <w:rPr>
                <w:sz w:val="20"/>
                <w:szCs w:val="20"/>
                <w:color w:val="auto"/>
              </w:rPr>
            </w:pPr>
            <w:r>
              <w:rPr>
                <w:rFonts w:ascii="Times New Roman" w:cs="Times New Roman" w:eastAsia="Times New Roman" w:hAnsi="Times New Roman"/>
                <w:sz w:val="18"/>
                <w:szCs w:val="18"/>
                <w:color w:val="auto"/>
              </w:rPr>
              <w:t>2/1/2021</w:t>
            </w:r>
            <w:r>
              <w:rPr>
                <w:rFonts w:ascii="Times New Roman" w:cs="Times New Roman" w:eastAsia="Times New Roman" w:hAnsi="Times New Roman"/>
                <w:sz w:val="29"/>
                <w:szCs w:val="29"/>
                <w:color w:val="auto"/>
                <w:vertAlign w:val="superscript"/>
              </w:rPr>
              <w:t>(3)</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95,833</w:t>
            </w:r>
          </w:p>
        </w:tc>
        <w:tc>
          <w:tcPr>
            <w:tcW w:w="10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4,167</w:t>
            </w:r>
          </w:p>
        </w:tc>
        <w:tc>
          <w:tcPr>
            <w:tcW w:w="7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13.35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86,007</w:t>
            </w:r>
          </w:p>
        </w:tc>
        <w:tc>
          <w:tcPr>
            <w:tcW w:w="0" w:type="dxa"/>
            <w:vAlign w:val="bottom"/>
          </w:tcPr>
          <w:p>
            <w:pPr>
              <w:spacing w:after="0"/>
              <w:rPr>
                <w:sz w:val="1"/>
                <w:szCs w:val="1"/>
                <w:color w:val="auto"/>
              </w:rPr>
            </w:pPr>
          </w:p>
        </w:tc>
      </w:tr>
      <w:tr>
        <w:trPr>
          <w:trHeight w:val="283"/>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5/20/2022</w:t>
            </w:r>
            <w:r>
              <w:rPr>
                <w:rFonts w:ascii="Times New Roman" w:cs="Times New Roman" w:eastAsia="Times New Roman" w:hAnsi="Times New Roman"/>
                <w:sz w:val="29"/>
                <w:szCs w:val="29"/>
                <w:color w:val="auto"/>
                <w:vertAlign w:val="superscript"/>
              </w:rPr>
              <w:t>(4)</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205,599</w:t>
            </w:r>
          </w:p>
        </w:tc>
        <w:tc>
          <w:tcPr>
            <w:tcW w:w="10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76,366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5/20/2028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18,748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773,730</w:t>
            </w:r>
          </w:p>
        </w:tc>
        <w:tc>
          <w:tcPr>
            <w:tcW w:w="0" w:type="dxa"/>
            <w:vAlign w:val="bottom"/>
          </w:tcPr>
          <w:p>
            <w:pPr>
              <w:spacing w:after="0"/>
              <w:rPr>
                <w:sz w:val="1"/>
                <w:szCs w:val="1"/>
                <w:color w:val="auto"/>
              </w:rPr>
            </w:pPr>
          </w:p>
        </w:tc>
      </w:tr>
      <w:tr>
        <w:trPr>
          <w:trHeight w:val="283"/>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5/29/2024</w:t>
            </w:r>
            <w:r>
              <w:rPr>
                <w:rFonts w:ascii="Times New Roman" w:cs="Times New Roman" w:eastAsia="Times New Roman" w:hAnsi="Times New Roman"/>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1,300,665</w:t>
            </w:r>
          </w:p>
        </w:tc>
        <w:tc>
          <w:tcPr>
            <w:tcW w:w="0" w:type="dxa"/>
            <w:vAlign w:val="bottom"/>
          </w:tcPr>
          <w:p>
            <w:pPr>
              <w:spacing w:after="0"/>
              <w:rPr>
                <w:sz w:val="1"/>
                <w:szCs w:val="1"/>
                <w:color w:val="auto"/>
              </w:rPr>
            </w:pPr>
          </w:p>
        </w:tc>
      </w:tr>
      <w:tr>
        <w:trPr>
          <w:trHeight w:val="283"/>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5/29/2024</w:t>
            </w:r>
            <w:r>
              <w:rPr>
                <w:rFonts w:ascii="Times New Roman" w:cs="Times New Roman" w:eastAsia="Times New Roman" w:hAnsi="Times New Roman"/>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82,732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3,414,350</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00" w:type="dxa"/>
            <w:vAlign w:val="bottom"/>
          </w:tcPr>
          <w:p>
            <w:pPr>
              <w:spacing w:after="0"/>
              <w:rPr>
                <w:sz w:val="20"/>
                <w:szCs w:val="20"/>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5/19/2020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480,514</w:t>
            </w:r>
          </w:p>
        </w:tc>
        <w:tc>
          <w:tcPr>
            <w:tcW w:w="200" w:type="dxa"/>
            <w:vAlign w:val="bottom"/>
          </w:tcPr>
          <w:p>
            <w:pPr>
              <w:spacing w:after="0"/>
              <w:rPr>
                <w:sz w:val="20"/>
                <w:szCs w:val="20"/>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5/19/2030</w:t>
            </w: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4"/>
                <w:szCs w:val="24"/>
                <w:color w:val="auto"/>
              </w:rPr>
            </w:pPr>
          </w:p>
        </w:tc>
        <w:tc>
          <w:tcPr>
            <w:tcW w:w="1280" w:type="dxa"/>
            <w:vAlign w:val="bottom"/>
            <w:gridSpan w:val="2"/>
          </w:tcPr>
          <w:p>
            <w:pPr>
              <w:jc w:val="right"/>
              <w:ind w:right="11"/>
              <w:spacing w:after="0" w:line="291" w:lineRule="exact"/>
              <w:rPr>
                <w:sz w:val="20"/>
                <w:szCs w:val="20"/>
                <w:color w:val="auto"/>
              </w:rPr>
            </w:pPr>
            <w:r>
              <w:rPr>
                <w:rFonts w:ascii="Times New Roman" w:cs="Times New Roman" w:eastAsia="Times New Roman" w:hAnsi="Times New Roman"/>
                <w:sz w:val="18"/>
                <w:szCs w:val="18"/>
                <w:color w:val="auto"/>
              </w:rPr>
              <w:t>3/15/2022</w:t>
            </w:r>
            <w:r>
              <w:rPr>
                <w:rFonts w:ascii="Times New Roman" w:cs="Times New Roman" w:eastAsia="Times New Roman" w:hAnsi="Times New Roman"/>
                <w:sz w:val="29"/>
                <w:szCs w:val="29"/>
                <w:color w:val="auto"/>
                <w:vertAlign w:val="superscript"/>
              </w:rPr>
              <w:t>(7)</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80,268</w:t>
            </w:r>
          </w:p>
        </w:tc>
        <w:tc>
          <w:tcPr>
            <w:tcW w:w="10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36,486</w:t>
            </w: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3/15/2028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375,805</w:t>
            </w:r>
          </w:p>
        </w:tc>
        <w:tc>
          <w:tcPr>
            <w:tcW w:w="0" w:type="dxa"/>
            <w:vAlign w:val="bottom"/>
          </w:tcPr>
          <w:p>
            <w:pPr>
              <w:spacing w:after="0"/>
              <w:rPr>
                <w:sz w:val="1"/>
                <w:szCs w:val="1"/>
                <w:color w:val="auto"/>
              </w:rPr>
            </w:pPr>
          </w:p>
        </w:tc>
      </w:tr>
      <w:tr>
        <w:trPr>
          <w:trHeight w:val="283"/>
        </w:trPr>
        <w:tc>
          <w:tcPr>
            <w:tcW w:w="1420" w:type="dxa"/>
            <w:vAlign w:val="bottom"/>
          </w:tcPr>
          <w:p>
            <w:pPr>
              <w:spacing w:after="0"/>
              <w:rPr>
                <w:sz w:val="24"/>
                <w:szCs w:val="24"/>
                <w:color w:val="auto"/>
              </w:rPr>
            </w:pPr>
          </w:p>
        </w:tc>
        <w:tc>
          <w:tcPr>
            <w:tcW w:w="1280" w:type="dxa"/>
            <w:vAlign w:val="bottom"/>
            <w:gridSpan w:val="2"/>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2/9/2023</w:t>
            </w:r>
            <w:r>
              <w:rPr>
                <w:rFonts w:ascii="Times New Roman" w:cs="Times New Roman" w:eastAsia="Times New Roman" w:hAnsi="Times New Roman"/>
                <w:sz w:val="29"/>
                <w:szCs w:val="29"/>
                <w:color w:val="auto"/>
                <w:vertAlign w:val="superscript"/>
              </w:rPr>
              <w:t>(8)</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2,060,735</w:t>
            </w:r>
          </w:p>
        </w:tc>
        <w:tc>
          <w:tcPr>
            <w:tcW w:w="0" w:type="dxa"/>
            <w:vAlign w:val="bottom"/>
          </w:tcPr>
          <w:p>
            <w:pPr>
              <w:spacing w:after="0"/>
              <w:rPr>
                <w:sz w:val="1"/>
                <w:szCs w:val="1"/>
                <w:color w:val="auto"/>
              </w:rPr>
            </w:pPr>
          </w:p>
        </w:tc>
      </w:tr>
      <w:tr>
        <w:trPr>
          <w:trHeight w:val="284"/>
        </w:trPr>
        <w:tc>
          <w:tcPr>
            <w:tcW w:w="1420" w:type="dxa"/>
            <w:vAlign w:val="bottom"/>
          </w:tcPr>
          <w:p>
            <w:pPr>
              <w:spacing w:after="0"/>
              <w:rPr>
                <w:sz w:val="24"/>
                <w:szCs w:val="24"/>
                <w:color w:val="auto"/>
              </w:rPr>
            </w:pPr>
          </w:p>
        </w:tc>
        <w:tc>
          <w:tcPr>
            <w:tcW w:w="1280" w:type="dxa"/>
            <w:vAlign w:val="bottom"/>
            <w:gridSpan w:val="2"/>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3/27/2024</w:t>
            </w:r>
            <w:r>
              <w:rPr>
                <w:rFonts w:ascii="Times New Roman" w:cs="Times New Roman" w:eastAsia="Times New Roman" w:hAnsi="Times New Roman"/>
                <w:sz w:val="29"/>
                <w:szCs w:val="29"/>
                <w:color w:val="auto"/>
                <w:vertAlign w:val="superscript"/>
              </w:rPr>
              <w:t>(5)</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1,105,912</w:t>
            </w: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4"/>
                <w:szCs w:val="24"/>
                <w:color w:val="auto"/>
              </w:rPr>
            </w:pPr>
          </w:p>
        </w:tc>
        <w:tc>
          <w:tcPr>
            <w:tcW w:w="1280" w:type="dxa"/>
            <w:vAlign w:val="bottom"/>
            <w:gridSpan w:val="2"/>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3/27/2024</w:t>
            </w:r>
            <w:r>
              <w:rPr>
                <w:rFonts w:ascii="Times New Roman" w:cs="Times New Roman" w:eastAsia="Times New Roman" w:hAnsi="Times New Roman"/>
                <w:sz w:val="29"/>
                <w:szCs w:val="29"/>
                <w:color w:val="auto"/>
                <w:vertAlign w:val="superscript"/>
              </w:rPr>
              <w:t>(6)</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1,290,265</w:t>
            </w:r>
          </w:p>
        </w:tc>
        <w:tc>
          <w:tcPr>
            <w:tcW w:w="0" w:type="dxa"/>
            <w:vAlign w:val="bottom"/>
          </w:tcPr>
          <w:p>
            <w:pPr>
              <w:spacing w:after="0"/>
              <w:rPr>
                <w:sz w:val="1"/>
                <w:szCs w:val="1"/>
                <w:color w:val="auto"/>
              </w:rPr>
            </w:pPr>
          </w:p>
        </w:tc>
      </w:tr>
      <w:tr>
        <w:trPr>
          <w:trHeight w:val="28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5/18/2023</w:t>
            </w:r>
            <w:r>
              <w:rPr>
                <w:rFonts w:ascii="Times New Roman" w:cs="Times New Roman" w:eastAsia="Times New Roman" w:hAnsi="Times New Roman"/>
                <w:sz w:val="29"/>
                <w:szCs w:val="29"/>
                <w:color w:val="auto"/>
                <w:vertAlign w:val="superscript"/>
              </w:rPr>
              <w:t>(9)</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165,257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6,820,156</w:t>
            </w:r>
          </w:p>
        </w:tc>
        <w:tc>
          <w:tcPr>
            <w:tcW w:w="0" w:type="dxa"/>
            <w:vAlign w:val="bottom"/>
          </w:tcPr>
          <w:p>
            <w:pPr>
              <w:spacing w:after="0"/>
              <w:rPr>
                <w:sz w:val="1"/>
                <w:szCs w:val="1"/>
                <w:color w:val="auto"/>
              </w:rPr>
            </w:pPr>
          </w:p>
        </w:tc>
      </w:tr>
      <w:tr>
        <w:trPr>
          <w:trHeight w:val="283"/>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3/27/2024</w:t>
            </w:r>
            <w:r>
              <w:rPr>
                <w:rFonts w:ascii="Times New Roman" w:cs="Times New Roman" w:eastAsia="Times New Roman" w:hAnsi="Times New Roman"/>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35,729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1,474,536</w:t>
            </w:r>
          </w:p>
        </w:tc>
        <w:tc>
          <w:tcPr>
            <w:tcW w:w="0" w:type="dxa"/>
            <w:vAlign w:val="bottom"/>
          </w:tcPr>
          <w:p>
            <w:pPr>
              <w:spacing w:after="0"/>
              <w:rPr>
                <w:sz w:val="1"/>
                <w:szCs w:val="1"/>
                <w:color w:val="auto"/>
              </w:rPr>
            </w:pPr>
          </w:p>
        </w:tc>
      </w:tr>
      <w:tr>
        <w:trPr>
          <w:trHeight w:val="283"/>
        </w:trPr>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3/27/2024</w:t>
            </w:r>
            <w:r>
              <w:rPr>
                <w:rFonts w:ascii="Times New Roman" w:cs="Times New Roman" w:eastAsia="Times New Roman" w:hAnsi="Times New Roman"/>
                <w:sz w:val="29"/>
                <w:szCs w:val="29"/>
                <w:color w:val="auto"/>
                <w:vertAlign w:val="superscript"/>
              </w:rPr>
              <w:t>(6)</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41,685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1,720,340</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00" w:type="dxa"/>
            <w:vAlign w:val="bottom"/>
          </w:tcPr>
          <w:p>
            <w:pPr>
              <w:spacing w:after="0"/>
              <w:rPr>
                <w:sz w:val="24"/>
                <w:szCs w:val="24"/>
                <w:color w:val="auto"/>
              </w:rPr>
            </w:pPr>
          </w:p>
        </w:tc>
        <w:tc>
          <w:tcPr>
            <w:tcW w:w="1080" w:type="dxa"/>
            <w:vAlign w:val="bottom"/>
          </w:tcPr>
          <w:p>
            <w:pPr>
              <w:jc w:val="right"/>
              <w:spacing w:after="0" w:line="283" w:lineRule="exact"/>
              <w:rPr>
                <w:sz w:val="20"/>
                <w:szCs w:val="20"/>
                <w:color w:val="auto"/>
              </w:rPr>
            </w:pPr>
            <w:r>
              <w:rPr>
                <w:rFonts w:ascii="Times New Roman" w:cs="Times New Roman" w:eastAsia="Times New Roman" w:hAnsi="Times New Roman"/>
                <w:sz w:val="18"/>
                <w:szCs w:val="18"/>
                <w:color w:val="auto"/>
                <w:w w:val="98"/>
              </w:rPr>
              <w:t>8/11/2023</w:t>
            </w:r>
            <w:r>
              <w:rPr>
                <w:rFonts w:ascii="Times New Roman" w:cs="Times New Roman" w:eastAsia="Times New Roman" w:hAnsi="Times New Roman"/>
                <w:sz w:val="29"/>
                <w:szCs w:val="29"/>
                <w:color w:val="auto"/>
                <w:w w:val="98"/>
                <w:vertAlign w:val="superscript"/>
              </w:rPr>
              <w:t>(10)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2,640,743</w:t>
            </w:r>
          </w:p>
        </w:tc>
        <w:tc>
          <w:tcPr>
            <w:tcW w:w="0" w:type="dxa"/>
            <w:vAlign w:val="bottom"/>
          </w:tcPr>
          <w:p>
            <w:pPr>
              <w:spacing w:after="0"/>
              <w:rPr>
                <w:sz w:val="1"/>
                <w:szCs w:val="1"/>
                <w:color w:val="auto"/>
              </w:rPr>
            </w:pPr>
          </w:p>
        </w:tc>
      </w:tr>
      <w:tr>
        <w:trPr>
          <w:trHeight w:val="283"/>
        </w:trPr>
        <w:tc>
          <w:tcPr>
            <w:tcW w:w="1420" w:type="dxa"/>
            <w:vAlign w:val="bottom"/>
          </w:tcPr>
          <w:p>
            <w:pPr>
              <w:spacing w:after="0"/>
              <w:rPr>
                <w:sz w:val="24"/>
                <w:szCs w:val="24"/>
                <w:color w:val="auto"/>
              </w:rPr>
            </w:pPr>
          </w:p>
        </w:tc>
        <w:tc>
          <w:tcPr>
            <w:tcW w:w="1280" w:type="dxa"/>
            <w:vAlign w:val="bottom"/>
            <w:gridSpan w:val="2"/>
          </w:tcPr>
          <w:p>
            <w:pPr>
              <w:jc w:val="right"/>
              <w:ind w:right="11"/>
              <w:spacing w:after="0" w:line="284" w:lineRule="exact"/>
              <w:rPr>
                <w:sz w:val="20"/>
                <w:szCs w:val="20"/>
                <w:color w:val="auto"/>
              </w:rPr>
            </w:pPr>
            <w:r>
              <w:rPr>
                <w:rFonts w:ascii="Times New Roman" w:cs="Times New Roman" w:eastAsia="Times New Roman" w:hAnsi="Times New Roman"/>
                <w:sz w:val="18"/>
                <w:szCs w:val="18"/>
                <w:color w:val="auto"/>
              </w:rPr>
              <w:t>4/14/2024</w:t>
            </w:r>
            <w:r>
              <w:rPr>
                <w:rFonts w:ascii="Times New Roman" w:cs="Times New Roman" w:eastAsia="Times New Roman" w:hAnsi="Times New Roman"/>
                <w:sz w:val="29"/>
                <w:szCs w:val="29"/>
                <w:color w:val="auto"/>
                <w:vertAlign w:val="superscript"/>
              </w:rPr>
              <w:t>(5)</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431,932</w:t>
            </w:r>
          </w:p>
        </w:tc>
        <w:tc>
          <w:tcPr>
            <w:tcW w:w="0" w:type="dxa"/>
            <w:vAlign w:val="bottom"/>
          </w:tcPr>
          <w:p>
            <w:pPr>
              <w:spacing w:after="0"/>
              <w:rPr>
                <w:sz w:val="1"/>
                <w:szCs w:val="1"/>
                <w:color w:val="auto"/>
              </w:rPr>
            </w:pPr>
          </w:p>
        </w:tc>
      </w:tr>
      <w:tr>
        <w:trPr>
          <w:trHeight w:val="394"/>
        </w:trPr>
        <w:tc>
          <w:tcPr>
            <w:tcW w:w="14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7/7/2024</w:t>
            </w:r>
            <w:r>
              <w:rPr>
                <w:rFonts w:ascii="Times New Roman" w:cs="Times New Roman" w:eastAsia="Times New Roman" w:hAnsi="Times New Roman"/>
                <w:sz w:val="29"/>
                <w:szCs w:val="29"/>
                <w:color w:val="auto"/>
                <w:vertAlign w:val="superscript"/>
              </w:rPr>
              <w:t>(11)</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and stock awards were granted under the Stock Plan.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Values are based on the closing price of our common stock on the Nasdaq Stock Market LLC on December 31, 2024 ($41.27).</w:t>
      </w:r>
    </w:p>
    <w:p>
      <w:pPr>
        <w:spacing w:after="0" w:line="41" w:lineRule="exact"/>
        <w:rPr>
          <w:rFonts w:ascii="Times New Roman" w:cs="Times New Roman" w:eastAsia="Times New Roman" w:hAnsi="Times New Roman"/>
          <w:sz w:val="14"/>
          <w:szCs w:val="14"/>
          <w:color w:val="auto"/>
        </w:rPr>
      </w:pPr>
    </w:p>
    <w:p>
      <w:pPr>
        <w:ind w:left="640" w:right="87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100,000 stock options and 50,000 RSUs that each vested in equal monthly installments over four years from February 1, 2021, subject to the holder’s continued service on each vesting date.</w:t>
      </w:r>
    </w:p>
    <w:p>
      <w:pPr>
        <w:ind w:left="640" w:right="39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281,965 stock options and 69,220 RSUs that each vest in equal monthly installments over four years from January 1, 2022, subject to the holder’s continued service on each vesting date.</w:t>
      </w:r>
    </w:p>
    <w:p>
      <w:pPr>
        <w:ind w:left="640" w:right="53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RSUs that vest in equal monthly installments over four years beginning on January 1, 2024, subject to the holder’s continued service on each vesting date.</w:t>
      </w:r>
    </w:p>
    <w:p>
      <w:pPr>
        <w:ind w:left="640" w:right="31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PRSUs that were earned based on achievement with respect to performance metrics related to revenue and Adjusted EBITDA performance during 2024, and which vested 25% on February 15, 2025, with the remaining 75% vesting in twelve equal quarterly installments, subject to the holder’s continued service on each vesting date.</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116,754 stock options and 29,138 RSUs that each vest in equal monthly installments over four years from March 1, 2022, subject to the holder’s continued service on each vesting date.</w:t>
      </w:r>
    </w:p>
    <w:p>
      <w:pPr>
        <w:ind w:left="640" w:right="45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138,297 RSUs that vest in equal monthly installments over three years from January 1, 2023, subject to the holder’s continued service on each vesting date.</w:t>
      </w:r>
    </w:p>
    <w:p>
      <w:pPr>
        <w:ind w:left="640" w:right="7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349,957 RSUs that vested one-third on May 2, 2024, the remaining portion of which will vest in equal monthly installments over two years from May 2, 2024, subject to the holder’s continued service on each vesting date.</w:t>
      </w:r>
    </w:p>
    <w:p>
      <w:pPr>
        <w:ind w:left="640" w:right="65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99,076 RSUs that vested one-fourth on July 31, 2024, the remaining portion of which will vest in equal monthly installments over three years from July 31, 2024, subject to the holder’s continued service on each vesting date.</w:t>
      </w:r>
    </w:p>
    <w:p>
      <w:pPr>
        <w:ind w:left="640" w:right="85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2,011 RSUs that vest in equal monthly installments over two years from June 6, 2024, subject to the holder’s continued service on each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xercises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ested</w:t>
      </w:r>
    </w:p>
    <w:p>
      <w:pPr>
        <w:spacing w:after="0" w:line="121"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option exercises and the vesting of stock awards during the last fiscal year with respect to the NEOs: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0" w:type="dxa"/>
            <w:vAlign w:val="bottom"/>
          </w:tcPr>
          <w:p>
            <w:pPr>
              <w:spacing w:after="0"/>
              <w:rPr>
                <w:sz w:val="16"/>
                <w:szCs w:val="16"/>
                <w:color w:val="auto"/>
              </w:rPr>
            </w:pPr>
          </w:p>
        </w:tc>
        <w:tc>
          <w:tcPr>
            <w:tcW w:w="2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vMerge w:val="restart"/>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4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39,174</w:t>
            </w:r>
          </w:p>
        </w:tc>
        <w:tc>
          <w:tcPr>
            <w:tcW w:w="12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1,263,579</w:t>
            </w:r>
          </w:p>
        </w:tc>
        <w:tc>
          <w:tcPr>
            <w:tcW w:w="0" w:type="dxa"/>
            <w:vAlign w:val="bottom"/>
          </w:tcPr>
          <w:p>
            <w:pPr>
              <w:spacing w:after="0"/>
              <w:rPr>
                <w:sz w:val="1"/>
                <w:szCs w:val="1"/>
                <w:color w:val="auto"/>
              </w:rPr>
            </w:pPr>
          </w:p>
        </w:tc>
      </w:tr>
      <w:tr>
        <w:trPr>
          <w:trHeight w:val="23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1,407,760</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64,604</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2,079,735</w:t>
            </w:r>
          </w:p>
        </w:tc>
        <w:tc>
          <w:tcPr>
            <w:tcW w:w="0" w:type="dxa"/>
            <w:vAlign w:val="bottom"/>
          </w:tcPr>
          <w:p>
            <w:pPr>
              <w:spacing w:after="0"/>
              <w:rPr>
                <w:sz w:val="1"/>
                <w:szCs w:val="1"/>
                <w:color w:val="auto"/>
              </w:rPr>
            </w:pPr>
          </w:p>
        </w:tc>
      </w:tr>
      <w:tr>
        <w:trPr>
          <w:trHeight w:val="247"/>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199,095</w:t>
            </w:r>
          </w:p>
        </w:tc>
        <w:tc>
          <w:tcPr>
            <w:tcW w:w="12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6,498,538</w:t>
            </w: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40,667</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1,477,639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0" w:lineRule="exact"/>
        <w:rPr>
          <w:sz w:val="20"/>
          <w:szCs w:val="20"/>
          <w:color w:val="auto"/>
        </w:rPr>
      </w:pPr>
    </w:p>
    <w:p>
      <w:pPr>
        <w:ind w:left="640" w:right="319" w:hanging="348"/>
        <w:spacing w:after="0" w:line="236"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as the “</w:t>
      </w:r>
      <w:r>
        <w:rPr>
          <w:rFonts w:ascii="Times New Roman" w:cs="Times New Roman" w:eastAsia="Times New Roman" w:hAnsi="Times New Roman"/>
          <w:sz w:val="14"/>
          <w:szCs w:val="14"/>
          <w:i w:val="1"/>
          <w:iCs w:val="1"/>
          <w:color w:val="auto"/>
        </w:rPr>
        <w:t>Value Realized on Exercise</w:t>
      </w:r>
      <w:r>
        <w:rPr>
          <w:rFonts w:ascii="Times New Roman" w:cs="Times New Roman" w:eastAsia="Times New Roman" w:hAnsi="Times New Roman"/>
          <w:sz w:val="14"/>
          <w:szCs w:val="14"/>
          <w:color w:val="auto"/>
        </w:rPr>
        <w:t>” (if any) are determined by multiplying (i) the number of shares of common stock to which the exercise of the option is related by (ii) the difference between the per-share price of the common stock on the exercise date and the exercise price of the options. The amounts reported represent the gross number of shares acquired upon the exercise of option awards, without deduction for shares that may have been withheld to satisfy the applicable exercise price or tax withholding obligations.</w:t>
      </w:r>
    </w:p>
    <w:p>
      <w:pPr>
        <w:spacing w:after="0" w:line="14" w:lineRule="exact"/>
        <w:rPr>
          <w:rFonts w:ascii="Times New Roman" w:cs="Times New Roman" w:eastAsia="Times New Roman" w:hAnsi="Times New Roman"/>
          <w:sz w:val="14"/>
          <w:szCs w:val="14"/>
          <w:color w:val="auto"/>
        </w:rPr>
      </w:pPr>
    </w:p>
    <w:p>
      <w:pPr>
        <w:ind w:left="640" w:right="419" w:hanging="348"/>
        <w:spacing w:after="0" w:line="233"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as the “</w:t>
      </w:r>
      <w:r>
        <w:rPr>
          <w:rFonts w:ascii="Times New Roman" w:cs="Times New Roman" w:eastAsia="Times New Roman" w:hAnsi="Times New Roman"/>
          <w:sz w:val="14"/>
          <w:szCs w:val="14"/>
          <w:i w:val="1"/>
          <w:iCs w:val="1"/>
          <w:color w:val="auto"/>
        </w:rPr>
        <w:t>Value Realized on Vesting</w:t>
      </w:r>
      <w:r>
        <w:rPr>
          <w:rFonts w:ascii="Times New Roman" w:cs="Times New Roman" w:eastAsia="Times New Roman" w:hAnsi="Times New Roman"/>
          <w:sz w:val="14"/>
          <w:szCs w:val="14"/>
          <w:color w:val="auto"/>
        </w:rPr>
        <w:t>” (if any) are determined by multiplying (i) the number of shares of common stock that vested by (ii) the per-share price of the common stock on the vesting date. The amounts reported represent the gross number of shares acquired upon vesting of stock awards, without deduction for shares that may have been withheld to satisfy applicable tax withholding obligations. The amounts reported in this column also include the value of fully vested RSUs granted to Mr. Burke, Ms. Antonoff and Ms. Stick in partial settlement of their 2024 annual bonuses.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 table below sets forth the amount of compensation and benefits payable under the Company’s 2023 Severance and Change in Control Plan (the “Severance Plan”) to each participant upon (i) the participant’s termination of employment without Cause (as such term is defined in the Severance Plan) and (ii) the participant’s Enhanced Termination (as defined below).</w:t>
      </w:r>
    </w:p>
    <w:p>
      <w:pPr>
        <w:spacing w:after="0" w:line="72" w:lineRule="exact"/>
        <w:rPr>
          <w:sz w:val="20"/>
          <w:szCs w:val="20"/>
          <w:color w:val="auto"/>
        </w:rPr>
      </w:pPr>
    </w:p>
    <w:p>
      <w:pPr>
        <w:ind w:left="300" w:right="1039"/>
        <w:spacing w:after="0" w:line="266" w:lineRule="auto"/>
        <w:rPr>
          <w:sz w:val="20"/>
          <w:szCs w:val="20"/>
          <w:color w:val="auto"/>
        </w:rPr>
      </w:pPr>
      <w:r>
        <w:rPr>
          <w:rFonts w:ascii="Times New Roman" w:cs="Times New Roman" w:eastAsia="Times New Roman" w:hAnsi="Times New Roman"/>
          <w:sz w:val="18"/>
          <w:szCs w:val="18"/>
          <w:color w:val="auto"/>
        </w:rPr>
        <w:t>The amounts shown in the table below assume that such termination of employment was effective as of December 31, 2024, and thus are estimates of the amounts that would be paid out to the participant in such circumstances.</w:t>
      </w:r>
    </w:p>
    <w:p>
      <w:pPr>
        <w:spacing w:after="0" w:line="68"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Mr. Hulls became a participant in the Severance Plan in March 2024, and is thus presently eligible to receive the following benefits under the Plan upon (i) his termination of employment without Cause and (ii) his Enhanced Termination. Any notice pay to be received by Mr. Hulls in the event of a termination without Cause may be offset by severance benefits he is eligible to receive under the Severance Plan.</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 Vesting of</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44"/>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1"/>
                <w:szCs w:val="21"/>
                <w:color w:val="auto"/>
              </w:rPr>
            </w:pPr>
          </w:p>
        </w:tc>
        <w:tc>
          <w:tcPr>
            <w:tcW w:w="2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220" w:type="dxa"/>
            <w:vAlign w:val="bottom"/>
          </w:tcPr>
          <w:p>
            <w:pPr>
              <w:spacing w:after="0"/>
              <w:rPr>
                <w:sz w:val="21"/>
                <w:szCs w:val="21"/>
                <w:color w:val="auto"/>
              </w:rPr>
            </w:pPr>
          </w:p>
        </w:tc>
        <w:tc>
          <w:tcPr>
            <w:tcW w:w="6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00" w:type="dxa"/>
            <w:vAlign w:val="bottom"/>
          </w:tcPr>
          <w:p>
            <w:pPr>
              <w:spacing w:after="0"/>
              <w:rPr>
                <w:sz w:val="21"/>
                <w:szCs w:val="21"/>
                <w:color w:val="auto"/>
              </w:rPr>
            </w:pPr>
          </w:p>
        </w:tc>
        <w:tc>
          <w:tcPr>
            <w:tcW w:w="84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COBRA($)</w:t>
            </w:r>
            <w:r>
              <w:rPr>
                <w:rFonts w:ascii="Times New Roman" w:cs="Times New Roman" w:eastAsia="Times New Roman" w:hAnsi="Times New Roman"/>
                <w:sz w:val="23"/>
                <w:szCs w:val="23"/>
                <w:b w:val="1"/>
                <w:bCs w:val="1"/>
                <w:color w:val="auto"/>
                <w:w w:val="96"/>
                <w:vertAlign w:val="superscript"/>
              </w:rPr>
              <w:t>(2)</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2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Termination Without Cause</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515,000</w:t>
            </w:r>
          </w:p>
        </w:tc>
        <w:tc>
          <w:tcPr>
            <w:tcW w:w="10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36,040</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551,040</w:t>
            </w:r>
          </w:p>
        </w:tc>
      </w:tr>
      <w:tr>
        <w:trPr>
          <w:trHeight w:val="243"/>
        </w:trPr>
        <w:tc>
          <w:tcPr>
            <w:tcW w:w="1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515,000</w:t>
            </w:r>
          </w:p>
        </w:tc>
        <w:tc>
          <w:tcPr>
            <w:tcW w:w="10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36,040</w:t>
            </w:r>
          </w:p>
        </w:tc>
        <w:tc>
          <w:tcPr>
            <w:tcW w:w="16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8,898,349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9,449,389</w:t>
            </w:r>
          </w:p>
        </w:tc>
      </w:tr>
      <w:tr>
        <w:trPr>
          <w:trHeight w:val="54"/>
        </w:trPr>
        <w:tc>
          <w:tcPr>
            <w:tcW w:w="17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Mr. Burke became a participant in the Severance Plan in March 2024, and is thus presently eligible to receive the following benefits under the Plan upon (i) his termination of employment without Cause and (ii) his Enhanced Termination. Any notice pay to be received by Mr. Burke in the event of a Termination Without Cause may be offset by severance benefits he is eligible to receive under the Severance Plan.</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 Vesting of</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44"/>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1"/>
                <w:szCs w:val="21"/>
                <w:color w:val="auto"/>
              </w:rPr>
            </w:pPr>
          </w:p>
        </w:tc>
        <w:tc>
          <w:tcPr>
            <w:tcW w:w="2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220" w:type="dxa"/>
            <w:vAlign w:val="bottom"/>
          </w:tcPr>
          <w:p>
            <w:pPr>
              <w:spacing w:after="0"/>
              <w:rPr>
                <w:sz w:val="21"/>
                <w:szCs w:val="21"/>
                <w:color w:val="auto"/>
              </w:rPr>
            </w:pPr>
          </w:p>
        </w:tc>
        <w:tc>
          <w:tcPr>
            <w:tcW w:w="6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00" w:type="dxa"/>
            <w:vAlign w:val="bottom"/>
          </w:tcPr>
          <w:p>
            <w:pPr>
              <w:spacing w:after="0"/>
              <w:rPr>
                <w:sz w:val="21"/>
                <w:szCs w:val="21"/>
                <w:color w:val="auto"/>
              </w:rPr>
            </w:pPr>
          </w:p>
        </w:tc>
        <w:tc>
          <w:tcPr>
            <w:tcW w:w="84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COBRA($)</w:t>
            </w:r>
            <w:r>
              <w:rPr>
                <w:rFonts w:ascii="Times New Roman" w:cs="Times New Roman" w:eastAsia="Times New Roman" w:hAnsi="Times New Roman"/>
                <w:sz w:val="23"/>
                <w:szCs w:val="23"/>
                <w:b w:val="1"/>
                <w:bCs w:val="1"/>
                <w:color w:val="auto"/>
                <w:w w:val="96"/>
                <w:vertAlign w:val="superscript"/>
              </w:rPr>
              <w:t>(2)</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220" w:type="dxa"/>
            <w:vAlign w:val="bottom"/>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7"/>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Termination Without Cause</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225,000</w:t>
            </w:r>
          </w:p>
        </w:tc>
        <w:tc>
          <w:tcPr>
            <w:tcW w:w="10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13,882</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238,882</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225,000</w:t>
            </w:r>
          </w:p>
        </w:tc>
        <w:tc>
          <w:tcPr>
            <w:tcW w:w="104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13,882</w:t>
            </w:r>
          </w:p>
        </w:tc>
        <w:tc>
          <w:tcPr>
            <w:tcW w:w="16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6,338,494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6,577,376</w:t>
            </w:r>
          </w:p>
        </w:tc>
      </w:tr>
      <w:tr>
        <w:trPr>
          <w:trHeight w:val="149"/>
        </w:trPr>
        <w:tc>
          <w:tcPr>
            <w:tcW w:w="12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bl>
    <w:p>
      <w:pPr>
        <w:spacing w:after="0" w:line="31" w:lineRule="exact"/>
        <w:rPr>
          <w:sz w:val="20"/>
          <w:szCs w:val="20"/>
          <w:color w:val="auto"/>
        </w:rPr>
      </w:pPr>
    </w:p>
    <w:p>
      <w:pPr>
        <w:ind w:left="640" w:right="539" w:hanging="348"/>
        <w:spacing w:after="0" w:line="24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Termination Without Cause, represents a lump sum cash payment equal to 12 months of base salary for Mr. Hulls and six months of base salary for Mr. Burke. Each of the aforementioned are eligible to receive the same amount of respective base salary severance benefits upon an Enhanced Termination.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39" w:hanging="348"/>
        <w:spacing w:after="0" w:line="233"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Termination Without Cause, represents payment of COBRA premiums for 12 months following Mr. Hulls’ termination and six months following Mr. Burke’s termination or, in each such case, until (i) the expiration of eligibility for the continuation coverage under COBRA or (ii) the date when Mr. Hulls or Mr. Burke respectively become eligible for equivalent insurance coverage in connection with any new employment. Both Mr. Hulls and Mr. Burke are eligible to receive the same respective amount of COBRA payment benefits upon an Enhanced Termination.</w:t>
      </w:r>
    </w:p>
    <w:p>
      <w:pPr>
        <w:spacing w:after="0" w:line="15" w:lineRule="exact"/>
        <w:rPr>
          <w:rFonts w:ascii="Times New Roman" w:cs="Times New Roman" w:eastAsia="Times New Roman" w:hAnsi="Times New Roman"/>
          <w:sz w:val="14"/>
          <w:szCs w:val="14"/>
          <w:color w:val="auto"/>
        </w:rPr>
      </w:pPr>
    </w:p>
    <w:p>
      <w:pPr>
        <w:ind w:left="640" w:right="399" w:hanging="348"/>
        <w:spacing w:after="0" w:line="23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 Enhanced Termination only, the vesting and exercisability of each outstanding unvested stock option and other stock award, as applicable, that Mr. Hulls and Mr. Burke respectively hold covering Company Common Stock as of the date of their Enhanced Termination (each, an “Equity Award”) that is subject to time-vesting shall be accelerated in full and any reacquisition or repurchase rights held by the Company in respect of Company Common Stock issued pursuant to any time-vesting Equity Award granted to Mr. Hulls and Mr. Burke respectively shall lapse in full. Values are based on the closing price of our common stock on the Nasdaq Stock Market LLC on December 31, 2024 ($41.27).</w:t>
      </w:r>
    </w:p>
    <w:p>
      <w:pPr>
        <w:spacing w:after="0" w:line="7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Receipt of benefits under the Severance Plan is contingent upon the participant executing a general waiver and release and allowing it to become effective in accordance with its terms, in no event more than sixty (60) days following the date of the participant’s Covered Termination (as defined below). Receipt of the above benefits shall cease if the participant willfully breaches any material statutory, common law, or contractual obligation to the Company or an affiliate (including, without limitation, the contractual obligations set forth in the participant’s Confidential Information and Inventions Assignment Agreement, or similar or successor agreement, and any other confidentiality, non-disclosure and developments agreement, non-competition, non-solicitation, or similar type agreement between the participant and the Company, as applicable); fails to enter into the terms of the Confidential Information and Inventions Assignment Agreement; or without the prior written approval of the Severance Plan administrator, engages in a Prohibited Action (as defined below). Benefits are also subject to recoupment if the participant engages in a Prohibited Action during the Prohibited Period (which is defined below and corresponds to the number of months such participant is receiving severance benefits) and as otherwise required by any other Company policy or applicable law. Benefits are also subject to reduction in the event the participant is receiving any other severance benefits, pay and benefits provided during a period following written notice of a business closing or mass layoff, pay and benefits in lieu of such notice, or other similar benefits payable to the participant by the Company or an affiliate that become payable in connection with the participant’s termination of employment pursuant to (i) any applicable legal requirement, including, without limitation, the Worker Adjustment and Retraining Notification Act or any other similar state law or (ii) any Company policy or practice providing for the participant to remain on the payroll for a limited period of time after being given notice of the termination of the participant’s employment.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capitalized terms are defined in the Severance Plan, and are summarized as follows:</w:t>
      </w:r>
    </w:p>
    <w:p>
      <w:pPr>
        <w:spacing w:after="0" w:line="117" w:lineRule="exact"/>
        <w:rPr>
          <w:sz w:val="20"/>
          <w:szCs w:val="20"/>
          <w:color w:val="auto"/>
        </w:rPr>
      </w:pPr>
    </w:p>
    <w:p>
      <w:pPr>
        <w:jc w:val="both"/>
        <w:ind w:left="1000" w:right="79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Termination” means (1) the employee’s resignation for Good Reason or (2) any Covered Termination that occurs during the period commencing three months prior to and ending 12 months following a change of the majority of the members of the Board.</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Termination” means a termination of employment that is due to a termination by the Company without Cause (and other than as a result of the employee’s death or disability).</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“Prohibited Action” occurs if the employee: (i) breaches a material provision of his or her confidentiality agreement and/or any restrictive covenants set forth in his or her employment agreement, or under applicable law; (ii) solicits any of the Company’s then current employees to leave the Company’s employ for any reason; or (iii) induces any of the Company’s then current customers or other third parties to terminate their existing business relationship with the Company.</w:t>
      </w:r>
    </w:p>
    <w:p>
      <w:pPr>
        <w:spacing w:after="0" w:line="75"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Period” commences on the date of the employee’s Covered Termination and continues for the number of months corresponding to his or her severance period set forth in such employee’s participation agreement under the Severance Plan.</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1"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means a resignation following any of the following events or conditions, without the applicable employee’s express written consent: (i) a material reduction in base salary; (ii) relocation to an office from remote work; (iii) any action or inaction that constitutes a material breach by the Company of the employment agreement; or (iv) a material reduction in duties, authority or responsibilities.</w:t>
      </w:r>
    </w:p>
    <w:p>
      <w:pPr>
        <w:spacing w:after="0" w:line="56"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Lauren Antonoff and Susan Stick are not participants in the Severance Plan and are thus entitled to receive the following termination-related benefits as set out in their respective employment agreements. The amounts set forth below assume that such termination of employment was effective as of December 31, 2024, and thus are estimates of the amounts that would be paid out to each individual in such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40" w:right="299" w:hanging="348"/>
        <w:spacing w:after="0" w:line="251"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 Antonoff. Under her Employment Agreement, Ms. Antonoff’s employment is “at-will,” provided that the Company is required to give Ms. Antonoff at least six months’ notice in the event of its termination of Ms. Antonoff’s employment without Cause (as defined below), which excludes terminations due to death or disability and Ms. Antonoff is required to provide the Board six months’ notice to terminate her employment voluntarily, although the Board may waive the required notice period to be given by Ms. Antonoff. In the event Ms. Antonoff is terminated by the Company without Cause or she resigns her employment for Good Reason (as defined below), and provided she signs a separation agreement and general release of claims and allows it to become effective, she is eligible to receive severance in the amount of six months of her base salary (the gross amount of $237,500) and payment of her COBRA premiums for six months following her termination date (in the gross amount of $17,696, or until the earlier of the expiration of her continuation coverage under COBRA or the date when she becomes eligible for health insurance in connection with new employment or self-employment). Additionally, if a Change of Control occurs (as defined in the Stock Plan) and, upon or within twelve (12) months following such Change of Control, Ms. Antonoff’s employment with the Company is terminated by the Company other than for Cause or is terminated by Ms. Antonoff for Good Reason (each as defined below), subject to Ms. Antonoff’s execution and non-revocation of a general release in a form reasonably acceptable to the Company no later than the sixtieth (60th) day after her separation, (i) the vesting of all awards of RSUs held by Ms. Antonoff will accelerate as of such termination ($10,015,032, estimated value based on the closing stock price on December 31, 2024); such that all of the total RSUs held by Ms. Antonoff that are unvested as of such termination will vest. In addition, if the successor to the Company or any affiliate of such successor does not agree to assume, substitute or otherwise continue any awards of RSUs at the time of a Change of Control (and if offered new or continued employment with such acquirer or successor,</w:t>
      </w:r>
    </w:p>
    <w:p>
      <w:pPr>
        <w:spacing w:after="0" w:line="8" w:lineRule="exact"/>
        <w:rPr>
          <w:rFonts w:ascii="Times New Roman" w:cs="Times New Roman" w:eastAsia="Times New Roman" w:hAnsi="Times New Roman"/>
          <w:sz w:val="18"/>
          <w:szCs w:val="18"/>
          <w:color w:val="auto"/>
        </w:rPr>
      </w:pPr>
    </w:p>
    <w:p>
      <w:pPr>
        <w:ind w:left="640" w:right="3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does not voluntarily resign without Good Reason), then 100% of the then unvested shares subject to the awards of RSUs that are not assumed or substituted for, as applicable, will fully vest and immediately prior to, and contingent upon, the consummation of such Change of Control.</w:t>
      </w:r>
    </w:p>
    <w:p>
      <w:pPr>
        <w:spacing w:after="0" w:line="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defined in Ms. Antonoff’s Employment Agreement as follows: a resignation following any</w:t>
      </w:r>
    </w:p>
    <w:p>
      <w:pPr>
        <w:spacing w:after="0" w:line="27" w:lineRule="exact"/>
        <w:rPr>
          <w:rFonts w:ascii="Times New Roman" w:cs="Times New Roman" w:eastAsia="Times New Roman" w:hAnsi="Times New Roman"/>
          <w:sz w:val="18"/>
          <w:szCs w:val="18"/>
          <w:color w:val="auto"/>
        </w:rPr>
      </w:pPr>
    </w:p>
    <w:p>
      <w:pPr>
        <w:ind w:left="660" w:right="3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following events or conditions, without Ms. Antonoff’s express written consent: (i) a material reduction in duties, authority or responsibilities; (ii) requiring to report to an officer or employee other than the CEO or directly to the Board; (iii) a material reduction in annual base salary, annual bonus or incentive compensation opportunity; (iv) the relocation of her principal place of employment to a location more than forty (40) miles from her principal place of employment or the Company requiring her to be based anywhere other than such principal place of employment; or (v) any action or inaction that constitutes a material breach by the Company of the employment agreement.</w:t>
      </w:r>
    </w:p>
    <w:p>
      <w:pPr>
        <w:spacing w:after="0" w:line="80" w:lineRule="exact"/>
        <w:rPr>
          <w:rFonts w:ascii="Times New Roman" w:cs="Times New Roman" w:eastAsia="Times New Roman" w:hAnsi="Times New Roman"/>
          <w:sz w:val="18"/>
          <w:szCs w:val="18"/>
          <w:color w:val="auto"/>
        </w:rPr>
      </w:pPr>
    </w:p>
    <w:p>
      <w:pPr>
        <w:ind w:left="640" w:right="419" w:hanging="348"/>
        <w:spacing w:after="0" w:line="253"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Susan Stick. Under her Employment Agreement, Ms. Stick’s employment is “at-will,” provided that in the event her employment is terminated by the Company without Cause or she resigns her employment for Good Reason (each as defined below) she is eligible to receive severance in the amount of six months of her base salary (the gross amount of $170,000) and payment of her COBRA premiums for six (6) months following her termination date (in the gross amount of $18,020. If a Change of Control occurs (as defined in the Company’s Stock Plan) and, upon or within twelve (12) months following such Change of Control, Ms. Stick’s employment with the Company is terminated by the Company other than for Cause or is terminated by</w:t>
      </w:r>
    </w:p>
    <w:p>
      <w:pPr>
        <w:spacing w:after="0" w:line="2" w:lineRule="exact"/>
        <w:rPr>
          <w:rFonts w:ascii="Times New Roman" w:cs="Times New Roman" w:eastAsia="Times New Roman" w:hAnsi="Times New Roman"/>
          <w:sz w:val="18"/>
          <w:szCs w:val="18"/>
          <w:color w:val="auto"/>
        </w:rPr>
      </w:pPr>
    </w:p>
    <w:p>
      <w:pPr>
        <w:ind w:left="640" w:right="3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Stick for Good Reason (each as defined below), subject to the Ms. Stick’s execution and non-revocation of a general release in a form reasonably acceptable to the Company no later than the sixtieth (60th) day after her separation, the vesting of all awards of RSUs held by Ms. Stick shall accelerate as of such termination ($3,134,952, estimated value based on the closing stock price on December 31, 2024); such that all of the total RSUs held by Ms. Stick that are unvested as of such termination will vest. In addition, if the successor to the Company or any affiliate of such successor does not agree to assume, substitute or otherwise continue any awards of RSUs at the time of a Change of Control (and if offered new or continued employment with such acquirer or successor, Ms. Stick does not voluntarily resign without Good Reason), then 100% of the then unvested shares subject to the awards of RSUs that are not assumed or substituted for, as applicable, shall fully vest and, if applicable, become exercisable immediately prior to, and contingent upon, the consummation of such Change of Control.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“Good Reason” is defined in Ms. Stick’s Employment Agreement as follows: a resignation following any of the</w:t>
      </w:r>
    </w:p>
    <w:p>
      <w:pPr>
        <w:spacing w:after="0" w:line="39" w:lineRule="exact"/>
        <w:rPr>
          <w:sz w:val="20"/>
          <w:szCs w:val="20"/>
          <w:color w:val="auto"/>
        </w:rPr>
      </w:pPr>
    </w:p>
    <w:p>
      <w:pPr>
        <w:ind w:left="660" w:right="619"/>
        <w:spacing w:after="0" w:line="255" w:lineRule="auto"/>
        <w:rPr>
          <w:sz w:val="20"/>
          <w:szCs w:val="20"/>
          <w:color w:val="auto"/>
        </w:rPr>
      </w:pPr>
      <w:r>
        <w:rPr>
          <w:rFonts w:ascii="Times New Roman" w:cs="Times New Roman" w:eastAsia="Times New Roman" w:hAnsi="Times New Roman"/>
          <w:sz w:val="18"/>
          <w:szCs w:val="18"/>
          <w:color w:val="auto"/>
        </w:rPr>
        <w:t>following events or conditions, without Ms. Stick’s express written consent: (i) a material reduction of her duties or reporting relationship or (ii) the Company requires her to relocate to a location more than 35 miles from her principal place of employment.</w:t>
      </w:r>
    </w:p>
    <w:p>
      <w:pPr>
        <w:spacing w:after="0" w:line="78" w:lineRule="exact"/>
        <w:rPr>
          <w:sz w:val="20"/>
          <w:szCs w:val="20"/>
          <w:color w:val="auto"/>
        </w:rPr>
      </w:pPr>
    </w:p>
    <w:p>
      <w:pPr>
        <w:ind w:left="300" w:right="479"/>
        <w:spacing w:after="0" w:line="270" w:lineRule="auto"/>
        <w:rPr>
          <w:sz w:val="20"/>
          <w:szCs w:val="20"/>
          <w:color w:val="auto"/>
        </w:rPr>
      </w:pPr>
      <w:r>
        <w:rPr>
          <w:rFonts w:ascii="Times New Roman" w:cs="Times New Roman" w:eastAsia="Times New Roman" w:hAnsi="Times New Roman"/>
          <w:sz w:val="17"/>
          <w:szCs w:val="17"/>
          <w:color w:val="auto"/>
        </w:rPr>
        <w:t>“Cause” is defined in each NEO’s employment agreement as follows: the occurrence of one or more of the following: (i) malfeasance or intentional misconduct harmful to the Company; (ii) conviction of a crime that is detrimental to the Company; (iii) conviction of, or entry of a plea to a crime that damages the Company’s financial condition or reputation or to a crime involving fraud; (iv) material violation of the Company’s Code of Ethics;</w:t>
      </w:r>
    </w:p>
    <w:p>
      <w:pPr>
        <w:spacing w:after="0" w:line="3" w:lineRule="exact"/>
        <w:rPr>
          <w:sz w:val="20"/>
          <w:szCs w:val="20"/>
          <w:color w:val="auto"/>
        </w:rPr>
      </w:pPr>
    </w:p>
    <w:p>
      <w:pPr>
        <w:ind w:left="540" w:hanging="248"/>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failure to perform duties; (vi) failure to cooperate with an investigation authorized by the Board;</w:t>
      </w:r>
    </w:p>
    <w:p>
      <w:pPr>
        <w:spacing w:after="0" w:line="9" w:lineRule="exact"/>
        <w:rPr>
          <w:rFonts w:ascii="Times New Roman" w:cs="Times New Roman" w:eastAsia="Times New Roman" w:hAnsi="Times New Roman"/>
          <w:sz w:val="18"/>
          <w:szCs w:val="18"/>
          <w:color w:val="auto"/>
        </w:rPr>
      </w:pPr>
    </w:p>
    <w:p>
      <w:pPr>
        <w:ind w:left="300" w:right="699" w:hanging="8"/>
        <w:spacing w:after="0" w:line="290" w:lineRule="auto"/>
        <w:tabs>
          <w:tab w:leader="none" w:pos="65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follow a proper Board directive; or (viii) willful misconduct or gross negligence pursuant to the Sarbanes-Oxley Act, if and to the extent such conduct triggers a restatement of the Company’s financial results.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CEO P</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atio</w:t>
      </w:r>
    </w:p>
    <w:p>
      <w:pPr>
        <w:spacing w:after="0" w:line="12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As required by Section 953(b) of the Dodd-Frank Act, the Company is providing the following disclosure about the relationship of the annual total compensation of our employees to the annual total compensation of Mr. Hulls, our Chief Executive Officer. SEC rules for identifying the median employee and calculating the pay ratio allow companies to apply various methodologies and assumptions and, as a result, the pay ratio reported by us may not be comparable to the pay ratio reported by other companies. Given the leverage of our executive compensation program towards performance-based elements, we expect that our pay ratio disclosure will fluctuate year-to-year based on the Company’s performance against the pre-established performance goals.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Ratio</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fiscal 2024,</w:t>
      </w:r>
    </w:p>
    <w:p>
      <w:pPr>
        <w:spacing w:after="0" w:line="117"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of our employees, other than Mr. Hulls, was $226,309.</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Hulls’ annual total compensation, as reported in the Total column of the 2024 Summary Compensation Table, was $4,412,802.</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information, the ratio of the annual total compensation of Mr. Hulls to the median of the annual total compensation of all employees is estimated to be 19.5 to 1. We believe this ratio is a reasonable estimate calculated in a manner consistent with Item 402(u) of Regulation S-K.</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of Median Employee</w:t>
      </w:r>
    </w:p>
    <w:p>
      <w:pPr>
        <w:spacing w:after="0" w:line="121"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We selected December 31, 2024 as the date on which to determine our median employee. On December 31, 2024, we had 365 U.S. employees and 67 non-U.S. employees. For purposes of identifying the median employee from our fiscal 2024 employee population, we considered the gross cash compensation of all employees, as compiled from payroll records. We selected gross cash compensation as it represents the principal form of compensation delivered to all of our employees and is readily available in each country. In addition, we measured compensation for purposes of determining the median employee using the 12-month period ending December 31, 2024. Compensation paid in foreign currencies was converted to U.S. dollars based on spot rate exchange rates as of December 31, 2024.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Regulation S-K (the “PVP Rules”), we are providing the following: (1) tabular compensation and performance disclosure for our NEOs for each of fiscal years 2022, 2023 and 2024 (the “Covered Years”); (2) a list of financial performance measures that the Company considers to be its most important to align compensation actually paid to the NEOs in 2024 to Company performance; and (3) additional disclosure relative to the relationship between the “compensation actually paid” (“CAP”) set forth in the Pay versus Performance Table and each of the performance metrics set forth in the Pay versus Performance Table and between the Company’s and the Peer Group Total Shareholder Return (“TSR”), in each case over 2022, 2023 and 2024.</w:t>
      </w:r>
    </w:p>
    <w:p>
      <w:pPr>
        <w:spacing w:after="0" w:line="84"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Although the PVP Rules require us to disclose “compensation actually paid,” these amounts do not necessarily reflect compensation that our NEOs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9"/>
                <w:szCs w:val="9"/>
                <w:color w:val="auto"/>
              </w:rPr>
            </w:pPr>
          </w:p>
        </w:tc>
        <w:tc>
          <w:tcPr>
            <w:tcW w:w="9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Peer Group</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Selected</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Measure:</w:t>
            </w: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0" w:type="dxa"/>
            <w:vAlign w:val="bottom"/>
          </w:tcPr>
          <w:p>
            <w:pPr>
              <w:spacing w:after="0"/>
              <w:rPr>
                <w:sz w:val="13"/>
                <w:szCs w:val="13"/>
                <w:color w:val="auto"/>
              </w:rPr>
            </w:pPr>
          </w:p>
        </w:tc>
        <w:tc>
          <w:tcPr>
            <w:tcW w:w="9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0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44"/>
        </w:trPr>
        <w:tc>
          <w:tcPr>
            <w:tcW w:w="620" w:type="dxa"/>
            <w:vAlign w:val="bottom"/>
            <w:tcBorders>
              <w:bottom w:val="single" w:sz="8" w:color="auto"/>
            </w:tcBorders>
          </w:tcPr>
          <w:p>
            <w:pPr>
              <w:spacing w:after="0" w:line="244"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for PEO</w:t>
            </w:r>
            <w:r>
              <w:rPr>
                <w:rFonts w:ascii="Times New Roman" w:cs="Times New Roman" w:eastAsia="Times New Roman" w:hAnsi="Times New Roman"/>
                <w:sz w:val="23"/>
                <w:szCs w:val="23"/>
                <w:b w:val="1"/>
                <w:bCs w:val="1"/>
                <w:color w:val="auto"/>
                <w:w w:val="93"/>
                <w:vertAlign w:val="superscript"/>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36"/>
              <w:spacing w:after="0" w:line="244" w:lineRule="exact"/>
              <w:rPr>
                <w:sz w:val="20"/>
                <w:szCs w:val="20"/>
                <w:color w:val="auto"/>
              </w:rPr>
            </w:pPr>
            <w:r>
              <w:rPr>
                <w:rFonts w:ascii="Times New Roman" w:cs="Times New Roman" w:eastAsia="Times New Roman" w:hAnsi="Times New Roman"/>
                <w:sz w:val="14"/>
                <w:szCs w:val="14"/>
                <w:b w:val="1"/>
                <w:bCs w:val="1"/>
                <w:color w:val="auto"/>
                <w:w w:val="93"/>
              </w:rPr>
              <w:t>to PEO</w:t>
            </w:r>
            <w:r>
              <w:rPr>
                <w:rFonts w:ascii="Times New Roman" w:cs="Times New Roman" w:eastAsia="Times New Roman" w:hAnsi="Times New Roman"/>
                <w:sz w:val="23"/>
                <w:szCs w:val="23"/>
                <w:b w:val="1"/>
                <w:bCs w:val="1"/>
                <w:color w:val="auto"/>
                <w:w w:val="93"/>
                <w:vertAlign w:val="superscript"/>
              </w:rPr>
              <w:t>(3)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(2)</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(4)</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(5)</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(6)</w:t>
            </w:r>
          </w:p>
        </w:tc>
        <w:tc>
          <w:tcPr>
            <w:tcW w:w="100" w:type="dxa"/>
            <w:vAlign w:val="bottom"/>
          </w:tcPr>
          <w:p>
            <w:pPr>
              <w:spacing w:after="0"/>
              <w:rPr>
                <w:sz w:val="21"/>
                <w:szCs w:val="21"/>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4"/>
              </w:rPr>
              <w:t>EBITDA</w:t>
            </w:r>
            <w:r>
              <w:rPr>
                <w:rFonts w:ascii="Times New Roman" w:cs="Times New Roman" w:eastAsia="Times New Roman" w:hAnsi="Times New Roman"/>
                <w:sz w:val="23"/>
                <w:szCs w:val="23"/>
                <w:b w:val="1"/>
                <w:bCs w:val="1"/>
                <w:color w:val="auto"/>
                <w:w w:val="94"/>
                <w:vertAlign w:val="superscript"/>
              </w:rPr>
              <w:t>(7)</w:t>
            </w:r>
          </w:p>
        </w:tc>
        <w:tc>
          <w:tcPr>
            <w:tcW w:w="0" w:type="dxa"/>
            <w:vAlign w:val="bottom"/>
          </w:tcPr>
          <w:p>
            <w:pPr>
              <w:spacing w:after="0"/>
              <w:rPr>
                <w:sz w:val="1"/>
                <w:szCs w:val="1"/>
                <w:color w:val="auto"/>
              </w:rPr>
            </w:pPr>
          </w:p>
        </w:tc>
      </w:tr>
      <w:tr>
        <w:trPr>
          <w:trHeight w:val="250"/>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$4,412,802</w:t>
            </w:r>
          </w:p>
        </w:tc>
        <w:tc>
          <w:tcPr>
            <w:tcW w:w="1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$10,964,671</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$2,087,998</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$7,874,951</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$643</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-$ 4,555,000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$45,484,000</w:t>
            </w: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$1,914,800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3,532,043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$2,641,659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$3,498,046</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$93</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-$28,171,000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$20,559,000</w:t>
            </w:r>
          </w:p>
        </w:tc>
        <w:tc>
          <w:tcPr>
            <w:tcW w:w="0" w:type="dxa"/>
            <w:vAlign w:val="bottom"/>
          </w:tcPr>
          <w:p>
            <w:pPr>
              <w:spacing w:after="0"/>
              <w:rPr>
                <w:sz w:val="1"/>
                <w:szCs w:val="1"/>
                <w:color w:val="auto"/>
              </w:rPr>
            </w:pPr>
          </w:p>
        </w:tc>
      </w:tr>
      <w:tr>
        <w:trPr>
          <w:trHeight w:val="234"/>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$3,932,605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503,566</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$7,283,268</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$4,937,726</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-$91,629,000 -$40,096,000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99" w:hanging="348"/>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Chris Hulls served as the Company’s Principal Executive Officer (our “PEO”) for the entirety of fiscal years 2022, 2023 and 2024. The Company’s other NEOs for the indicated fiscal years were as follows:</w:t>
      </w:r>
    </w:p>
    <w:p>
      <w:pPr>
        <w:spacing w:after="0" w:line="54" w:lineRule="exact"/>
        <w:rPr>
          <w:rFonts w:ascii="Times New Roman" w:cs="Times New Roman" w:eastAsia="Times New Roman" w:hAnsi="Times New Roman"/>
          <w:sz w:val="14"/>
          <w:szCs w:val="14"/>
          <w:color w:val="auto"/>
        </w:rPr>
      </w:pPr>
    </w:p>
    <w:p>
      <w:pPr>
        <w:ind w:left="1360" w:hanging="348"/>
        <w:spacing w:after="0"/>
        <w:tabs>
          <w:tab w:leader="none" w:pos="13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Russell Burke, Lauren Antonoff and Susan Stick</w:t>
      </w:r>
    </w:p>
    <w:p>
      <w:pPr>
        <w:spacing w:after="0" w:line="95" w:lineRule="exact"/>
        <w:rPr>
          <w:rFonts w:ascii="Times New Roman" w:cs="Times New Roman" w:eastAsia="Times New Roman" w:hAnsi="Times New Roman"/>
          <w:sz w:val="14"/>
          <w:szCs w:val="14"/>
          <w:color w:val="auto"/>
        </w:rPr>
      </w:pPr>
    </w:p>
    <w:p>
      <w:pPr>
        <w:ind w:left="1360" w:hanging="348"/>
        <w:spacing w:after="0"/>
        <w:tabs>
          <w:tab w:leader="none" w:pos="13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Russell Burke, Lauren Antonoff, Susan Stick and David Rice</w:t>
      </w:r>
    </w:p>
    <w:p>
      <w:pPr>
        <w:spacing w:after="0" w:line="95" w:lineRule="exact"/>
        <w:rPr>
          <w:rFonts w:ascii="Times New Roman" w:cs="Times New Roman" w:eastAsia="Times New Roman" w:hAnsi="Times New Roman"/>
          <w:sz w:val="14"/>
          <w:szCs w:val="14"/>
          <w:color w:val="auto"/>
        </w:rPr>
      </w:pPr>
    </w:p>
    <w:p>
      <w:pPr>
        <w:ind w:left="1360" w:hanging="348"/>
        <w:spacing w:after="0"/>
        <w:tabs>
          <w:tab w:leader="none" w:pos="13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Charles Prober and Kirsten Daru</w:t>
      </w:r>
    </w:p>
    <w:p>
      <w:pPr>
        <w:spacing w:after="0" w:line="41"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these columns represent (i) the total compensation reported in the Summary Compensation Table for the indicated fiscal year in the case of our PEO and (ii) the average of the total compensation reported in the Summary Compensation Table for the non-PEO NEOs in the indicated year for such years. Refer to “Executive Compensation—Summary Compensation Table.”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these columns represent the amount of CAP to our PEO for the indicated fiscal year, as calculated under Item</w:t>
      </w:r>
    </w:p>
    <w:p>
      <w:pPr>
        <w:spacing w:after="0" w:line="3" w:lineRule="exact"/>
        <w:rPr>
          <w:rFonts w:ascii="Times New Roman" w:cs="Times New Roman" w:eastAsia="Times New Roman" w:hAnsi="Times New Roman"/>
          <w:sz w:val="14"/>
          <w:szCs w:val="14"/>
          <w:color w:val="auto"/>
        </w:rPr>
      </w:pPr>
    </w:p>
    <w:p>
      <w:pPr>
        <w:ind w:left="640" w:right="33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402(v) of Regulation S-K based on their total compensation reported in the Summary Compensation Table for the indicated fiscal years and adjusted as shown in the tables below:</w:t>
      </w:r>
    </w:p>
    <w:p>
      <w:pPr>
        <w:spacing w:after="0" w:line="1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51174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Summary Compensation Table - Total Compensation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$3,932,605</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$1,914,800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4,412,802</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 Date Fair Value of Stock Awards and Option Awards Granted in Fiscal Year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$2,876,205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2,999,952</w:t>
            </w:r>
          </w:p>
        </w:tc>
        <w:tc>
          <w:tcPr>
            <w:tcW w:w="0" w:type="dxa"/>
            <w:vAlign w:val="bottom"/>
          </w:tcPr>
          <w:p>
            <w:pPr>
              <w:spacing w:after="0"/>
              <w:rPr>
                <w:sz w:val="1"/>
                <w:szCs w:val="1"/>
                <w:color w:val="auto"/>
              </w:rPr>
            </w:pPr>
          </w:p>
        </w:tc>
      </w:tr>
      <w:tr>
        <w:trPr>
          <w:trHeight w:val="140"/>
        </w:trPr>
        <w:tc>
          <w:tcPr>
            <w:tcW w:w="2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w:t>
            </w:r>
          </w:p>
        </w:tc>
        <w:tc>
          <w:tcPr>
            <w:tcW w:w="548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Fair Value at Fiscal Year End of Outstanding and Unvested Stock Awards and Option</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$1,583,255</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4,714,993</w:t>
            </w: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Granted in Fiscal Year</w:t>
            </w:r>
          </w:p>
        </w:tc>
        <w:tc>
          <w:tcPr>
            <w:tcW w:w="6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1020" w:hanging="364"/>
        <w:spacing w:after="0" w:line="23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Outstanding and Unvested Stock Awards and Option Awards</w:t>
      </w:r>
    </w:p>
    <w:tbl>
      <w:tblPr>
        <w:tblLayout w:type="fixed"/>
        <w:tblInd w:w="66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in Prior Fiscal Years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-$1,399,960</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$1,014,097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2,518,540</w:t>
            </w:r>
          </w:p>
        </w:tc>
        <w:tc>
          <w:tcPr>
            <w:tcW w:w="0" w:type="dxa"/>
            <w:vAlign w:val="bottom"/>
          </w:tcPr>
          <w:p>
            <w:pPr>
              <w:spacing w:after="0"/>
              <w:rPr>
                <w:sz w:val="1"/>
                <w:szCs w:val="1"/>
                <w:color w:val="auto"/>
              </w:rPr>
            </w:pPr>
          </w:p>
        </w:tc>
      </w:tr>
      <w:tr>
        <w:trPr>
          <w:trHeight w:val="139"/>
        </w:trPr>
        <w:tc>
          <w:tcPr>
            <w:tcW w:w="220" w:type="dxa"/>
            <w:vAlign w:val="bottom"/>
            <w:shd w:val="clear" w:color="auto" w:fill="CCEEFF"/>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w w:val="75"/>
              </w:rPr>
              <w:t>+</w:t>
            </w:r>
          </w:p>
        </w:tc>
        <w:tc>
          <w:tcPr>
            <w:tcW w:w="52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Fair Value at Vesting of Stock Awards and Option Awards Granted in Fiscal Year That</w:t>
            </w: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450,974</w:t>
            </w:r>
          </w:p>
        </w:tc>
        <w:tc>
          <w:tcPr>
            <w:tcW w:w="4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329,862</w:t>
            </w: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17"/>
                <w:szCs w:val="17"/>
                <w:color w:val="auto"/>
              </w:rPr>
            </w:pPr>
          </w:p>
        </w:tc>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 During Fiscal Year</w:t>
            </w:r>
          </w:p>
        </w:tc>
        <w:tc>
          <w:tcPr>
            <w:tcW w:w="9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1020" w:right="2819" w:hanging="364"/>
        <w:spacing w:after="0" w:line="226"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as of Vesting Date of Stock Awards and Option Awards Granted in Prior Fiscal Years For Which Applicable Vesting Conditions Were Satisfied During Fiscal</w:t>
      </w:r>
    </w:p>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88"/>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Year</w:t>
            </w:r>
          </w:p>
        </w:tc>
        <w:tc>
          <w:tcPr>
            <w:tcW w:w="3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-$1,187,102</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603,146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$ 1,988,426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5117465"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17465" cy="308610"/>
                    </a:xfrm>
                    <a:prstGeom prst="rect">
                      <a:avLst/>
                    </a:prstGeom>
                    <a:noFill/>
                  </pic:spPr>
                </pic:pic>
              </a:graphicData>
            </a:graphic>
          </wp:anchor>
        </w:drawing>
      </w:r>
    </w:p>
    <w:p>
      <w:pPr>
        <w:ind w:left="1020" w:hanging="364"/>
        <w:spacing w:after="0" w:line="222"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as of Prior Fiscal Year End of Stock Awards and Option Awards Granted</w:t>
      </w:r>
    </w:p>
    <w:tbl>
      <w:tblPr>
        <w:tblLayout w:type="fixed"/>
        <w:tblInd w:w="660" w:type="dxa"/>
        <w:tblCellMar>
          <w:top w:w="0" w:type="dxa"/>
          <w:left w:w="0" w:type="dxa"/>
          <w:bottom w:w="0" w:type="dxa"/>
          <w:right w:w="0" w:type="dxa"/>
        </w:tblCellMar>
      </w:tblPr>
      <w:tr>
        <w:trPr>
          <w:trHeight w:val="133"/>
        </w:trPr>
        <w:tc>
          <w:tcPr>
            <w:tcW w:w="220" w:type="dxa"/>
            <w:vAlign w:val="bottom"/>
          </w:tcPr>
          <w:p>
            <w:pPr>
              <w:spacing w:after="0"/>
              <w:rPr>
                <w:sz w:val="11"/>
                <w:szCs w:val="11"/>
                <w:color w:val="auto"/>
              </w:rPr>
            </w:pPr>
          </w:p>
        </w:tc>
        <w:tc>
          <w:tcPr>
            <w:tcW w:w="51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in Prior Fiscal Years That Failed to Meet Applicable Vesting Conditions During</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4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5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w:t>
            </w:r>
          </w:p>
        </w:tc>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503,566</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$3,532,043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$10,964,671</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4"/>
          <w:szCs w:val="14"/>
          <w:color w:val="auto"/>
        </w:rPr>
        <w:t>Equity Award values are calculated in accordance with FASB ASC Topic 718, and the valuation assumptions used to calculate fair values did not materially differ from those disclosed at the time of grant.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379" w:hanging="348"/>
        <w:spacing w:after="0" w:line="241"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the amount of CAP to our non-PEO NEOs in the indicated fiscal year, as calculated under Item 402(v) of Regulation S-K based on the average total compensation for such non-PEO NEOs reported in the Summary Compensation Table for the indicated fiscal year and adjusted as shown in the table below:</w:t>
      </w:r>
    </w:p>
    <w:p>
      <w:pPr>
        <w:spacing w:after="0" w:line="1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Non-PEO 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5117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1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180" w:type="dxa"/>
            <w:vAlign w:val="bottom"/>
            <w:shd w:val="clear" w:color="auto" w:fill="CCEEFF"/>
          </w:tcPr>
          <w:p>
            <w:pPr>
              <w:spacing w:after="0"/>
              <w:rPr>
                <w:sz w:val="17"/>
                <w:szCs w:val="17"/>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Summary Compensation Table—Total Compensation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$7,283,268</w:t>
            </w:r>
          </w:p>
        </w:tc>
        <w:tc>
          <w:tcPr>
            <w:tcW w:w="7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$2,641,659</w:t>
            </w:r>
          </w:p>
        </w:tc>
        <w:tc>
          <w:tcPr>
            <w:tcW w:w="7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$2,087,998</w:t>
            </w:r>
          </w:p>
        </w:tc>
      </w:tr>
      <w:tr>
        <w:trPr>
          <w:trHeight w:val="188"/>
        </w:trPr>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 Date Fair Value of Stock Awards and Option Awards Granted in Fiscal Year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$6,783,285</w:t>
            </w:r>
          </w:p>
        </w:tc>
        <w:tc>
          <w:tcPr>
            <w:tcW w:w="7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$2,127,131</w:t>
            </w:r>
          </w:p>
        </w:tc>
        <w:tc>
          <w:tcPr>
            <w:tcW w:w="7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$1,298,273</w:t>
            </w:r>
          </w:p>
        </w:tc>
      </w:tr>
    </w:tbl>
    <w:p>
      <w:pPr>
        <w:ind w:left="980" w:hanging="324"/>
        <w:spacing w:after="0" w:line="232" w:lineRule="auto"/>
        <w:tabs>
          <w:tab w:leader="none" w:pos="9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at Fiscal Year End of Outstanding and Unvested Stock Awards and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-97790</wp:posOffset>
            </wp:positionV>
            <wp:extent cx="5117465"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17465" cy="21463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 in Fiscal Year</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$4,428,067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$2,217,169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$2,028,395</w:t>
            </w:r>
          </w:p>
        </w:tc>
        <w:tc>
          <w:tcPr>
            <w:tcW w:w="0" w:type="dxa"/>
            <w:vAlign w:val="bottom"/>
          </w:tcPr>
          <w:p>
            <w:pPr>
              <w:spacing w:after="0"/>
              <w:rPr>
                <w:sz w:val="1"/>
                <w:szCs w:val="1"/>
                <w:color w:val="auto"/>
              </w:rPr>
            </w:pPr>
          </w:p>
        </w:tc>
      </w:tr>
      <w:tr>
        <w:trPr>
          <w:trHeight w:val="149"/>
        </w:trPr>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75"/>
              </w:rPr>
              <w:t>+</w:t>
            </w:r>
          </w:p>
        </w:tc>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Outstanding and Unvested Stock Awards and Option Awards Granted</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257,647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$2,771,326</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Prior Fiscal Years</w:t>
            </w:r>
          </w:p>
        </w:tc>
        <w:tc>
          <w:tcPr>
            <w:tcW w:w="2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75"/>
              </w:rPr>
              <w:t>+</w:t>
            </w:r>
          </w:p>
        </w:tc>
        <w:tc>
          <w:tcPr>
            <w:tcW w:w="5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Fair Value at Vesting of Stock Awards and Option Awards Granted in Fiscal Year That Vested</w:t>
            </w: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186,029</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378,137</w:t>
            </w:r>
          </w:p>
        </w:tc>
        <w:tc>
          <w:tcPr>
            <w:tcW w:w="0" w:type="dxa"/>
            <w:vAlign w:val="bottom"/>
          </w:tcPr>
          <w:p>
            <w:pPr>
              <w:spacing w:after="0"/>
              <w:rPr>
                <w:sz w:val="1"/>
                <w:szCs w:val="1"/>
                <w:color w:val="auto"/>
              </w:rPr>
            </w:pPr>
          </w:p>
        </w:tc>
      </w:tr>
      <w:tr>
        <w:trPr>
          <w:trHeight w:val="198"/>
        </w:trPr>
        <w:tc>
          <w:tcPr>
            <w:tcW w:w="200" w:type="dxa"/>
            <w:vAlign w:val="bottom"/>
            <w:shd w:val="clear" w:color="auto" w:fill="CCEEFF"/>
          </w:tcPr>
          <w:p>
            <w:pPr>
              <w:spacing w:after="0"/>
              <w:rPr>
                <w:sz w:val="17"/>
                <w:szCs w:val="17"/>
                <w:color w:val="auto"/>
              </w:rPr>
            </w:pP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During Fiscal Year</w:t>
            </w:r>
          </w:p>
        </w:tc>
        <w:tc>
          <w:tcPr>
            <w:tcW w:w="2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0" w:type="dxa"/>
            <w:vAlign w:val="bottom"/>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w w:val="75"/>
              </w:rPr>
              <w:t>+</w:t>
            </w:r>
          </w:p>
        </w:tc>
        <w:tc>
          <w:tcPr>
            <w:tcW w:w="56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Change in Fair Value as of Vesting Date of Stock Awards and Option Awards Granted in Prior</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322,673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$1,907,368</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Fiscal Years For Which Applicable Vesting Conditions Were Satisfied During Fiscal Year</w:t>
            </w:r>
          </w:p>
        </w:tc>
        <w:tc>
          <w:tcPr>
            <w:tcW w:w="2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as of Prior Fiscal Year End of Stock Awards and Option Awards Granted 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-95885</wp:posOffset>
            </wp:positionV>
            <wp:extent cx="5117465"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17465" cy="21463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Fiscal Years That Failed to Meet Applicable Vesting Conditions During Fiscal Year</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88"/>
        </w:trPr>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75"/>
              </w:rPr>
              <w:t>=</w:t>
            </w: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$4,937,726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$3,498,046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$7,874,951</w:t>
            </w:r>
          </w:p>
        </w:tc>
      </w:tr>
    </w:tbl>
    <w:p>
      <w:pPr>
        <w:spacing w:after="0" w:line="68"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4"/>
          <w:szCs w:val="14"/>
          <w:color w:val="auto"/>
        </w:rPr>
        <w:t>Equity Award values are calculated in accordance with FASB ASC Topic 718, and the valuation assumptions used to calculate fair values did not materially differ from those disclosed at the time of grant.</w:t>
      </w:r>
    </w:p>
    <w:p>
      <w:pPr>
        <w:spacing w:after="0" w:line="1" w:lineRule="exact"/>
        <w:rPr>
          <w:sz w:val="20"/>
          <w:szCs w:val="20"/>
          <w:color w:val="auto"/>
        </w:rPr>
      </w:pPr>
    </w:p>
    <w:p>
      <w:pPr>
        <w:ind w:left="640" w:right="51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402(v) of Regulation S-K, the comparison assumes $100 was invested in our Common Stock on June 27, 2022, the effective date of our Registration Statement on Form 10 filed with the SEC, using the closing stock price of a share of the Company’s Common Stock (traded as three CDIs on the ASX), calculated by multiplying the closing CDI price on that date, by 3 (to account for the 1:3 ratio of Common Stock to CDIs) and using an exchange rate of 0.6942 to convert Australian dollars to U.S. dollars on that date. Historic stock price performance is not necessarily indicative of future stock price performance.</w:t>
      </w:r>
    </w:p>
    <w:p>
      <w:pPr>
        <w:spacing w:after="0" w:line="15" w:lineRule="exact"/>
        <w:rPr>
          <w:rFonts w:ascii="Times New Roman" w:cs="Times New Roman" w:eastAsia="Times New Roman" w:hAnsi="Times New Roman"/>
          <w:sz w:val="14"/>
          <w:szCs w:val="14"/>
          <w:color w:val="auto"/>
        </w:rPr>
      </w:pPr>
    </w:p>
    <w:p>
      <w:pPr>
        <w:ind w:left="640" w:right="379"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TSR Peer Group is the Company’s 2024 compensation peer group, which consisted of the following companies: Alarm.com Holdings; American Software; Clear Secure; Couchbase; CS Disco; eGain; Eventbrite; Everbridge; Globalstar; LiveVox Holdings; Matterport; Mitek Systems; MiX Systems; Nextdoor Holdings; ON24; Ooma; OptimizeRx; PagerDuty; Soundthinking; TrueCar; and Veritone. Compared to the Company’s 2023 compensation peer group, the TSR Peer Group for 2024 removed Nitro Software, Ping Identify Holding, Shotspotter, Sumo Logic, and System 1 because they were acquired, and added Alarm.com Holdings, Clear Secure, Everbridge, Matterport and Soundthinking based on their alignment with the peer selection criteria described in the section titled “</w:t>
      </w:r>
      <w:r>
        <w:rPr>
          <w:rFonts w:ascii="Times New Roman" w:cs="Times New Roman" w:eastAsia="Times New Roman" w:hAnsi="Times New Roman"/>
          <w:sz w:val="14"/>
          <w:szCs w:val="14"/>
          <w:i w:val="1"/>
          <w:iCs w:val="1"/>
          <w:color w:val="auto"/>
        </w:rPr>
        <w:t>Compensation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Analysis</w:t>
      </w:r>
      <w:r>
        <w:rPr>
          <w:rFonts w:ascii="Times New Roman" w:cs="Times New Roman" w:eastAsia="Times New Roman" w:hAnsi="Times New Roman"/>
          <w:sz w:val="14"/>
          <w:szCs w:val="14"/>
          <w:color w:val="auto"/>
        </w:rPr>
        <w:t>” of this Proxy Statement. The cumulative TSR for the Company’s 2023 compensation peer group was $85 for 2022, $93 for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$92 for 2024. The calculations assume that $100 was invested in this peer group index on June 27, 2022 (aligned with the period used in footnote #5 above).</w:t>
      </w:r>
    </w:p>
    <w:p>
      <w:pPr>
        <w:spacing w:after="0" w:line="102"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metric that the Company defines as net loss, excluding (i) convertible notes, derivative liability, and investment fair value adjustments, (ii) gain and loss on settlement of convertible notes and derivative liability, (iii) provision for (benefit from) income taxes, (iv) depreciation and amortization, (v) other income, net, (vi) stock-based compensation, (vii) IPO-related transaction costs, including secondary offering costs (viii) workplace restructuring costs, (ix) the write-off of obsolete inventory, (x) the adjustment in connection with membership benefit, and (xi) warehouse relocation costs.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Tabular List of Performance Measures</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 following is a list of performance measures, which in the Company’s assessment represent the most important performance measures used by the Company to link compensation actually paid to the NEOs for 2024. These metrics are used in the bonus plan.</w:t>
      </w:r>
    </w:p>
    <w:p>
      <w:pPr>
        <w:spacing w:after="0" w:line="68" w:lineRule="exact"/>
        <w:rPr>
          <w:sz w:val="20"/>
          <w:szCs w:val="20"/>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Millions of Monthly Active Users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121"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Because CAP does not reflect the actual amount earned by our NEOs on their equity compensation, we do not use this measure for understanding how NEO pay aligns with our company performance. For a discussion of how the Compensation Committee assessed “pay-for-performance” and how our executive compensation program is designed to link executive compensation with the achievement of our financial and strategic objectives as well as stockholder value creation each year, see the section titled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of this Proxy Statement.</w:t>
      </w:r>
    </w:p>
    <w:p>
      <w:pPr>
        <w:spacing w:after="0" w:line="79"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Below are graphs showing the relationship of “Compensation Actually Paid” to our PEO and non-PEO NEOs for our fiscal years 2022, 2023 and 2024 to (1) the TSR of both our common stock and the compensation peer group, (2) our net income (loss), and (3)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157480</wp:posOffset>
            </wp:positionV>
            <wp:extent cx="4345940" cy="3282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4594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102870</wp:posOffset>
            </wp:positionV>
            <wp:extent cx="4345940" cy="3128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4594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188595</wp:posOffset>
            </wp:positionV>
            <wp:extent cx="4345940" cy="3129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4594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All information provided above under the “</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 heading will not be deemed to be incorporated by reference in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The elements of our 2024 director compensation program for non-employee directors are set forth below. Chris Hulls, our Chief Executive Officer in 2024, did not receive any additional compensation for serving as a director. Please see the “2024 Summary Compensation Table” for the compensation received by Mr. Hulls with respect to 2024.</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4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00" w:type="dxa"/>
            <w:vAlign w:val="bottom"/>
          </w:tcPr>
          <w:p>
            <w:pPr>
              <w:spacing w:after="0"/>
              <w:rPr>
                <w:sz w:val="21"/>
                <w:szCs w:val="21"/>
                <w:color w:val="auto"/>
              </w:rPr>
            </w:pPr>
          </w:p>
        </w:tc>
        <w:tc>
          <w:tcPr>
            <w:tcW w:w="50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14"/>
                <w:szCs w:val="14"/>
                <w:b w:val="1"/>
                <w:bCs w:val="1"/>
                <w:color w:val="auto"/>
                <w:w w:val="95"/>
              </w:rPr>
              <w:t>Cash</w:t>
            </w:r>
            <w:r>
              <w:rPr>
                <w:rFonts w:ascii="Times New Roman" w:cs="Times New Roman" w:eastAsia="Times New Roman" w:hAnsi="Times New Roman"/>
                <w:sz w:val="23"/>
                <w:szCs w:val="23"/>
                <w:b w:val="1"/>
                <w:bCs w:val="1"/>
                <w:color w:val="auto"/>
                <w:w w:val="95"/>
                <w:vertAlign w:val="superscript"/>
              </w:rPr>
              <w:t>(2)</w:t>
            </w:r>
          </w:p>
        </w:tc>
        <w:tc>
          <w:tcPr>
            <w:tcW w:w="520" w:type="dxa"/>
            <w:vAlign w:val="bottom"/>
          </w:tcPr>
          <w:p>
            <w:pPr>
              <w:spacing w:after="0"/>
              <w:rPr>
                <w:sz w:val="21"/>
                <w:szCs w:val="21"/>
                <w:color w:val="auto"/>
              </w:rPr>
            </w:pPr>
          </w:p>
        </w:tc>
        <w:tc>
          <w:tcPr>
            <w:tcW w:w="600" w:type="dxa"/>
            <w:vAlign w:val="bottom"/>
            <w:tcBorders>
              <w:bottom w:val="single" w:sz="8" w:color="auto"/>
            </w:tcBorders>
          </w:tcPr>
          <w:p>
            <w:pPr>
              <w:jc w:val="right"/>
              <w:ind w:right="68"/>
              <w:spacing w:after="0" w:line="24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(3)</w:t>
            </w:r>
          </w:p>
        </w:tc>
        <w:tc>
          <w:tcPr>
            <w:tcW w:w="50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90"/>
        </w:trPr>
        <w:tc>
          <w:tcPr>
            <w:tcW w:w="518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Board Chair</w:t>
            </w:r>
            <w:r>
              <w:rPr>
                <w:rFonts w:ascii="Times New Roman" w:cs="Times New Roman" w:eastAsia="Times New Roman" w:hAnsi="Times New Roman"/>
                <w:sz w:val="29"/>
                <w:szCs w:val="29"/>
                <w:color w:val="auto"/>
                <w:vertAlign w:val="superscript"/>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256,500</w:t>
            </w: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220,000</w:t>
            </w: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379" w:hanging="348"/>
        <w:spacing w:after="0" w:line="261"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Chair fee is in lieu of Board Member fee. Committee Member fees are supplemental to Board Chair, Board Member and Committee Chair fees.</w:t>
      </w:r>
    </w:p>
    <w:p>
      <w:pPr>
        <w:ind w:left="640" w:right="439" w:hanging="348"/>
        <w:spacing w:after="0" w:line="236"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based on a review of market practices and the input of the Compensation Committee’s independent compensation consultant, the Board approved an increase to the cash retainers reflected in this column as follows: Board Chair–$48,000 to $63,000; Board Member– $35,000 to $50,000; Audit Committee Member–$3,500 to $4,000; Compensation Committee Chair–$4,000 to $5,000; and Compensation Committee Member–$2,000 to $4,000.</w:t>
      </w:r>
    </w:p>
    <w:p>
      <w:pPr>
        <w:spacing w:after="0" w:line="14"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directors received 100% of their equity award as RSUs. In 2024, based on a review of market practices and the input of the Compensation Committee’s independent compensation consultant, the Board approved an increase to the equity retainers reflected in this column as follows: Board Chair–$143,500 to $193,500; Board Member–$120,000 to $170,000; Audit Committee Member–$5,500 to $6,000; Compensation Committee Chair–$6,000 to $7,000; and Compensation Committee Member–$3,000 to $5,000.</w:t>
      </w:r>
    </w:p>
    <w:p>
      <w:pPr>
        <w:spacing w:after="0" w:line="73"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In connection with our U.S. IPO, the Compensation Committee succeeded the Remuneration and Nomination Committee, with members of the Compensation Committee to be paid the same cash and equity retainers previously approved for members of the Remuneration and Nomination Committee, as reflected in the table above.</w:t>
      </w:r>
    </w:p>
    <w:p>
      <w:pPr>
        <w:spacing w:after="0" w:line="68"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the compensation earned by or paid to all non-executive directors of the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FOR FISCAL 2024</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8"/>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4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21"/>
                <w:szCs w:val="21"/>
                <w:color w:val="auto"/>
              </w:rPr>
            </w:pPr>
          </w:p>
        </w:tc>
        <w:tc>
          <w:tcPr>
            <w:tcW w:w="92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14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Philip Coghlan</w:t>
            </w:r>
          </w:p>
        </w:tc>
        <w:tc>
          <w:tcPr>
            <w:tcW w:w="10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71,000</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204,481</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275,481</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Alex Haro</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50,000</w:t>
            </w: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169,995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219,995</w:t>
            </w:r>
          </w:p>
        </w:tc>
      </w:tr>
      <w:tr>
        <w:trPr>
          <w:trHeight w:val="25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10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54,000</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175,484</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229,484</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James Synge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54,000</w:t>
            </w: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175,983</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229,983</w:t>
            </w:r>
          </w:p>
        </w:tc>
      </w:tr>
      <w:tr>
        <w:trPr>
          <w:trHeight w:val="25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10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55,000</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176,981</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231,981</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55,000</w:t>
            </w: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184,993</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239,993</w:t>
            </w:r>
          </w:p>
        </w:tc>
      </w:tr>
      <w:tr>
        <w:trPr>
          <w:trHeight w:val="25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10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50,000</w:t>
            </w:r>
          </w:p>
        </w:tc>
        <w:tc>
          <w:tcPr>
            <w:tcW w:w="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169,995</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219,995</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Charles Prober</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50,000</w:t>
            </w: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169,995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219,995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1000" w:right="379" w:hanging="348"/>
        <w:spacing w:after="0" w:line="233" w:lineRule="auto"/>
        <w:tabs>
          <w:tab w:leader="none" w:pos="10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each non-employee director received a base fee of $50,000. In addition, Mr. Coghlan received $13,000 for serving as Chair of our Board, Messrs. Coghlan and Synge each received an additional $4,000 for serving as members of our Audit Committee, and Mr. Wiadrowski received an additional $5,000 for serving as the chair of our Audit Committee, Mr. Coghlan and Ms. Morin each received an additional $4,000 for serving on our Compensation Committee and Mr. Goines received an additional $5,000 for serving as the chair of our Compensation Committee.</w:t>
      </w:r>
    </w:p>
    <w:p>
      <w:pPr>
        <w:spacing w:after="0" w:line="15" w:lineRule="exact"/>
        <w:rPr>
          <w:rFonts w:ascii="Times New Roman" w:cs="Times New Roman" w:eastAsia="Times New Roman" w:hAnsi="Times New Roman"/>
          <w:sz w:val="14"/>
          <w:szCs w:val="14"/>
          <w:color w:val="auto"/>
        </w:rPr>
      </w:pPr>
    </w:p>
    <w:p>
      <w:pPr>
        <w:ind w:left="1000" w:right="379" w:hanging="348"/>
        <w:spacing w:after="0" w:line="241" w:lineRule="auto"/>
        <w:tabs>
          <w:tab w:leader="none" w:pos="10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awards are reported at aggregate grant date fair value in the year granted, as determined in accordance with the provisions of FASB ASC Topic 718. For the assumptions used in valuing these awards for purposes of computing this expense, please see Note 13 of the financial statements in the Company’s Annual Report on Form 10-K for the fiscal year ended December 31,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99" w:hanging="348"/>
        <w:spacing w:after="0" w:line="261" w:lineRule="auto"/>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subject to stock option awards (from stock option grants made prior to 2023) and the aggregate number of shares subject to RSU awards as of December 31, 2024 was as follows:</w:t>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 Awards</w:t>
            </w:r>
          </w:p>
        </w:tc>
      </w:tr>
      <w:tr>
        <w:trPr>
          <w:trHeight w:val="23"/>
        </w:trPr>
        <w:tc>
          <w:tcPr>
            <w:tcW w:w="5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Philip Coghlan</w:t>
            </w:r>
          </w:p>
        </w:tc>
        <w:tc>
          <w:tcPr>
            <w:tcW w:w="98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3,484</w:t>
            </w:r>
          </w:p>
        </w:tc>
        <w:tc>
          <w:tcPr>
            <w:tcW w:w="15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265,004</w:t>
            </w: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Alex Haro</w:t>
            </w:r>
          </w:p>
        </w:tc>
        <w:tc>
          <w:tcPr>
            <w:tcW w:w="9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2,896</w:t>
            </w:r>
          </w:p>
        </w:tc>
        <w:tc>
          <w:tcPr>
            <w:tcW w:w="15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407,837</w:t>
            </w:r>
          </w:p>
        </w:tc>
      </w:tr>
      <w:tr>
        <w:trPr>
          <w:trHeight w:val="19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Brittany Morin</w:t>
            </w:r>
          </w:p>
        </w:tc>
        <w:tc>
          <w:tcPr>
            <w:tcW w:w="98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2,990</w:t>
            </w:r>
          </w:p>
        </w:tc>
        <w:tc>
          <w:tcPr>
            <w:tcW w:w="15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127,031</w:t>
            </w: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James Synge</w:t>
            </w:r>
          </w:p>
        </w:tc>
        <w:tc>
          <w:tcPr>
            <w:tcW w:w="9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2,998</w:t>
            </w:r>
          </w:p>
        </w:tc>
        <w:tc>
          <w:tcPr>
            <w:tcW w:w="15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33,972</w:t>
            </w:r>
          </w:p>
        </w:tc>
      </w:tr>
      <w:tr>
        <w:trPr>
          <w:trHeight w:val="19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Goines</w:t>
            </w:r>
          </w:p>
        </w:tc>
        <w:tc>
          <w:tcPr>
            <w:tcW w:w="98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3,015</w:t>
            </w:r>
          </w:p>
        </w:tc>
        <w:tc>
          <w:tcPr>
            <w:tcW w:w="154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34,045</w:t>
            </w: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David Wiadrowski</w:t>
            </w:r>
          </w:p>
        </w:tc>
        <w:tc>
          <w:tcPr>
            <w:tcW w:w="9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3,152</w:t>
            </w:r>
          </w:p>
        </w:tc>
        <w:tc>
          <w:tcPr>
            <w:tcW w:w="15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37,361</w:t>
            </w:r>
          </w:p>
        </w:tc>
      </w:tr>
      <w:tr>
        <w:trPr>
          <w:trHeight w:val="19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Randi Zuckerberg</w:t>
            </w:r>
          </w:p>
        </w:tc>
        <w:tc>
          <w:tcPr>
            <w:tcW w:w="98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2,896</w:t>
            </w:r>
          </w:p>
        </w:tc>
        <w:tc>
          <w:tcPr>
            <w:tcW w:w="154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37,870</w:t>
            </w: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Charles Prober</w:t>
            </w:r>
          </w:p>
        </w:tc>
        <w:tc>
          <w:tcPr>
            <w:tcW w:w="9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2,896</w:t>
            </w:r>
          </w:p>
        </w:tc>
        <w:tc>
          <w:tcPr>
            <w:tcW w:w="15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192,752</w:t>
            </w: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regarding the number of shares of Company Common Stock that may be issued under our equity compensation plans.</w:t>
      </w:r>
    </w:p>
    <w:p>
      <w:pPr>
        <w:sectPr>
          <w:pgSz w:w="11900" w:h="16838" w:orient="portrait"/>
          <w:cols w:equalWidth="0" w:num="1">
            <w:col w:w="9019"/>
          </w:cols>
          <w:pgMar w:left="1440" w:top="114" w:right="1440" w:bottom="1440" w:gutter="0" w:footer="0" w:header="0"/>
        </w:sectPr>
      </w:pP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90"/>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2700" w:space="720"/>
            <w:col w:w="559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38"/>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00" w:type="dxa"/>
            <w:vAlign w:val="bottom"/>
            <w:vMerge w:val="restart"/>
            <w:shd w:val="clear" w:color="auto" w:fill="CCEEFF"/>
          </w:tcPr>
          <w:p>
            <w:pPr>
              <w:spacing w:after="0"/>
              <w:rPr>
                <w:sz w:val="20"/>
                <w:szCs w:val="20"/>
                <w:color w:val="auto"/>
              </w:rPr>
            </w:pPr>
          </w:p>
        </w:tc>
        <w:tc>
          <w:tcPr>
            <w:tcW w:w="170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10,880,951</w:t>
            </w:r>
            <w:r>
              <w:rPr>
                <w:rFonts w:ascii="Times New Roman" w:cs="Times New Roman" w:eastAsia="Times New Roman" w:hAnsi="Times New Roman"/>
                <w:sz w:val="29"/>
                <w:szCs w:val="29"/>
                <w:color w:val="auto"/>
                <w:vertAlign w:val="superscript"/>
              </w:rPr>
              <w:t>(1)</w:t>
            </w:r>
          </w:p>
        </w:tc>
        <w:tc>
          <w:tcPr>
            <w:tcW w:w="100" w:type="dxa"/>
            <w:vAlign w:val="bottom"/>
            <w:vMerge w:val="restart"/>
            <w:shd w:val="clear" w:color="auto" w:fill="CCEEFF"/>
          </w:tcPr>
          <w:p>
            <w:pPr>
              <w:spacing w:after="0"/>
              <w:rPr>
                <w:sz w:val="20"/>
                <w:szCs w:val="20"/>
                <w:color w:val="auto"/>
              </w:rPr>
            </w:pPr>
          </w:p>
        </w:tc>
        <w:tc>
          <w:tcPr>
            <w:tcW w:w="1680" w:type="dxa"/>
            <w:vAlign w:val="bottom"/>
            <w:tcBorders>
              <w:top w:val="single" w:sz="8" w:color="auto"/>
            </w:tcBorders>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$6.16</w:t>
            </w:r>
            <w:r>
              <w:rPr>
                <w:rFonts w:ascii="Times New Roman" w:cs="Times New Roman" w:eastAsia="Times New Roman" w:hAnsi="Times New Roman"/>
                <w:sz w:val="29"/>
                <w:szCs w:val="29"/>
                <w:color w:val="auto"/>
                <w:vertAlign w:val="superscript"/>
              </w:rPr>
              <w:t>(2)</w:t>
            </w:r>
          </w:p>
        </w:tc>
        <w:tc>
          <w:tcPr>
            <w:tcW w:w="120" w:type="dxa"/>
            <w:vAlign w:val="bottom"/>
            <w:vMerge w:val="restart"/>
            <w:shd w:val="clear" w:color="auto" w:fill="CCEEFF"/>
          </w:tcPr>
          <w:p>
            <w:pPr>
              <w:spacing w:after="0"/>
              <w:rPr>
                <w:sz w:val="20"/>
                <w:szCs w:val="20"/>
                <w:color w:val="auto"/>
              </w:rPr>
            </w:pPr>
          </w:p>
        </w:tc>
        <w:tc>
          <w:tcPr>
            <w:tcW w:w="1700" w:type="dxa"/>
            <w:vAlign w:val="bottom"/>
            <w:tcBorders>
              <w:top w:val="single" w:sz="8" w:color="auto"/>
            </w:tcBorders>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12,699,626</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6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Approved by Stockholders</w:t>
            </w:r>
          </w:p>
        </w:tc>
        <w:tc>
          <w:tcPr>
            <w:tcW w:w="10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10,880,951</w:t>
            </w:r>
          </w:p>
        </w:tc>
        <w:tc>
          <w:tcPr>
            <w:tcW w:w="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6.16</w:t>
            </w:r>
          </w:p>
        </w:tc>
        <w:tc>
          <w:tcPr>
            <w:tcW w:w="18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12,699,626</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59" w:hanging="348"/>
        <w:spacing w:after="0" w:line="241"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5,673,947 shares issuable pursuant to outstanding stock options, 4,976,198 shares issuable pursuant to outstanding RSUs and 230,806 shares issuable pursuant to outstanding PRSUs (assumes maximum achievement of the applicable performance goals (equivalent to 115,403 PRSUs at target).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weighted average excludes full value awards such as RSUs and PRSUs.</w:t>
      </w:r>
    </w:p>
    <w:p>
      <w:pPr>
        <w:spacing w:after="0" w:line="41" w:lineRule="exact"/>
        <w:rPr>
          <w:rFonts w:ascii="Times New Roman" w:cs="Times New Roman" w:eastAsia="Times New Roman" w:hAnsi="Times New Roman"/>
          <w:sz w:val="14"/>
          <w:szCs w:val="14"/>
          <w:color w:val="auto"/>
        </w:rPr>
      </w:pPr>
    </w:p>
    <w:p>
      <w:pPr>
        <w:ind w:left="640" w:right="479" w:hanging="348"/>
        <w:spacing w:after="0" w:line="231"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shares of Company Common Stock available for issuance under the Company’s Stock Plan. Awards available for grant under the Company’s Stock Plan include stock options, restricted stock and RSUs (including PRSUs), and any combination of the foregoing awards. Our Stock Plan provides that the number of shares of Company Common Stock available for issuance under the Stock Plan will be increased on January 1 of each year, commencing with January 1, 2021, in an amount equal to the lessor of (i) 5% of the outstanding shares of Company Common Stock on the last day of the immediately preceding December 31, (ii) 5,000,000 shares and (iii) such number of shares determined by the Board.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have procedures in place to identify related person transactions. The Audit Committee has adopted a written Related Person Transactions Policy regarding the review and approval of transactions to which we have been a party and our directors, director nominees, executive officers or beneficial owners of more than 5% of any class of our voting securities or any member of the immediate family of any of the foregoing persons had or will have a direct or indirect material (such transactions, “Related Person Transactions”). Each Related Person Transaction that is required to be disclosed pursuant to Item 404(a) of Regulation S-K must be reviewed, approved or ratified and overseen by our Audit Committee unless otherwise approved or ratified pursuant to the Company’s written Related Person Transaction Policy. In addition, we require all Board members to complete and sign an annual director’s questionnaire which includes updated directorships and known related party transactions.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Nasdaq rules and regulations.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21"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The following includes a summary of Related Person Transactions since January 1, 2024 in which the amount involved exceeded or will exceed $120,000, other than compensation arrangements with directors and executive officers, which are described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Hubble Transactions</w:t>
      </w:r>
    </w:p>
    <w:p>
      <w:pPr>
        <w:spacing w:after="0" w:line="121" w:lineRule="exact"/>
        <w:rPr>
          <w:sz w:val="20"/>
          <w:szCs w:val="20"/>
          <w:color w:val="auto"/>
        </w:rPr>
      </w:pPr>
    </w:p>
    <w:p>
      <w:pPr>
        <w:ind w:left="300" w:right="459"/>
        <w:spacing w:after="0" w:line="276" w:lineRule="auto"/>
        <w:rPr>
          <w:sz w:val="20"/>
          <w:szCs w:val="20"/>
          <w:color w:val="auto"/>
        </w:rPr>
      </w:pPr>
      <w:r>
        <w:rPr>
          <w:rFonts w:ascii="Times New Roman" w:cs="Times New Roman" w:eastAsia="Times New Roman" w:hAnsi="Times New Roman"/>
          <w:sz w:val="17"/>
          <w:szCs w:val="17"/>
          <w:color w:val="auto"/>
        </w:rPr>
        <w:t>In November and December 2024, the Company entered into a strategic partnership and series of transactions with Hubble Network, Inc. (“Hubble”), a provider of global satellite infrastructure and networking services, including</w:t>
      </w:r>
    </w:p>
    <w:p>
      <w:pPr>
        <w:spacing w:after="0" w:line="1" w:lineRule="exact"/>
        <w:rPr>
          <w:sz w:val="20"/>
          <w:szCs w:val="20"/>
          <w:color w:val="auto"/>
        </w:rPr>
      </w:pPr>
    </w:p>
    <w:p>
      <w:pPr>
        <w:jc w:val="both"/>
        <w:ind w:left="300" w:right="699" w:hanging="8"/>
        <w:spacing w:after="0" w:line="277" w:lineRule="auto"/>
        <w:tabs>
          <w:tab w:leader="none" w:pos="5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technology exclusivity and revenue share agreement (the “Hubble Agreement”), (ii) a $5.0 million SAFE investment by the Company into Hubble; and (iii) Hubble’s issuance of a warrant to the Company to purchase Hubble common stock. The Hubble Agreement has an initial term of 5 years beginning on November 12, 2024.</w:t>
      </w:r>
    </w:p>
    <w:p>
      <w:pPr>
        <w:spacing w:after="0" w:line="6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earned no net revenue from the revenue share arrangement. The partnership also allows Hubble to purchase Tile hardware devices at a price equal to the Company’s burdened cost of goods sold plus 12.5%. During the year ended December 31, 2024, the Company recognized $0.1 million in hardware revenue from sales to Hubble.</w:t>
      </w:r>
    </w:p>
    <w:p>
      <w:pPr>
        <w:spacing w:after="0" w:line="72"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Alex Haro, the founder, and Chief Executive Officer of Hubble is a co-founder, former executive, and existing member of the Board. In addition, as part of the Hubble Agreement, the Company obtained an observer right to Hubble’s board of directors. As a result, all transactions with Hubble entered into in connection with the strategic partnership are considered related person transactions.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Payments made on behalf of Related Parties in connection with the U.S. IPO</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On June 6, 2024, in connection with its U.S. IPO, the Company issued and sold 3,703,704 shares of common stock and certain selling securityholders including members of the Company’s Board, executive officers, and other stockholders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expenses paid on behalf of the selling securityholders is detailed below (in millions):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23"/>
        </w:trPr>
        <w:tc>
          <w:tcPr>
            <w:tcW w:w="6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90"/>
        </w:trPr>
        <w:tc>
          <w:tcPr>
            <w:tcW w:w="64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Executive Officers</w:t>
            </w:r>
            <w:r>
              <w:rPr>
                <w:rFonts w:ascii="Times New Roman" w:cs="Times New Roman" w:eastAsia="Times New Roman" w:hAnsi="Times New Roman"/>
                <w:sz w:val="29"/>
                <w:szCs w:val="29"/>
                <w:color w:val="auto"/>
                <w:vertAlign w:val="superscript"/>
              </w:rPr>
              <w:t>(1)</w:t>
            </w:r>
          </w:p>
        </w:tc>
        <w:tc>
          <w:tcPr>
            <w:tcW w:w="19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$0.9</w:t>
            </w:r>
          </w:p>
        </w:tc>
      </w:tr>
      <w:tr>
        <w:trPr>
          <w:trHeight w:val="25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820" w:type="dxa"/>
            <w:vAlign w:val="bottom"/>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tcPr>
          <w:p>
            <w:pPr>
              <w:spacing w:after="0"/>
              <w:rPr>
                <w:sz w:val="21"/>
                <w:szCs w:val="21"/>
                <w:color w:val="auto"/>
              </w:rPr>
            </w:pPr>
          </w:p>
        </w:tc>
      </w:tr>
      <w:tr>
        <w:trPr>
          <w:trHeight w:val="257"/>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$0.7 million in expenses paid on behalf of a securityholder who is both an executive officer and member of the board of directors.</w:t>
      </w:r>
    </w:p>
    <w:p>
      <w:pPr>
        <w:spacing w:after="0" w:line="100"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The $5.5 million in total fees paid have been recorded within Other income (expense), net on the consolidated statement of operations for the year ended December 31, 2024.</w:t>
      </w:r>
    </w:p>
    <w:p>
      <w:pPr>
        <w:spacing w:after="0" w:line="54"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and provide advancement of expenses incurred in defense of a proceeding to its current and former directors and officers to the extent not prohibited under Delaware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60" w:lineRule="exact"/>
        <w:rPr>
          <w:sz w:val="20"/>
          <w:szCs w:val="20"/>
          <w:color w:val="auto"/>
        </w:rPr>
      </w:pPr>
    </w:p>
    <w:p>
      <w:pPr>
        <w:jc w:val="both"/>
        <w:ind w:left="300" w:right="359"/>
        <w:spacing w:after="0" w:line="272"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w:t>
      </w:r>
    </w:p>
    <w:p>
      <w:pPr>
        <w:spacing w:after="0" w:line="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Suite 310, San Mateo, CA 94403. Stockholders who currently receive multiple copies of the Notices of Internet Availability of Proxy Materials at their addresses and would like to request “householding” of their communications should contact their brokers.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investors.life360.com and click on “SEC Filings” under the “Financials” heading. Copies of our Annual Report on Form 10-K for the year ended December 31, 2024, including financial statements and schedules thereto, filed with the SEC on February 27, 2025, are also available without charge to stockholders by contacting Life360 by mail at Life360, Inc., Attn: Management, 1900 S Norfolk Street, Suite 310, San Mateo, CA 94403, or by email at investors@life360.com.</w:t>
      </w:r>
    </w:p>
    <w:p>
      <w:pPr>
        <w:spacing w:after="0" w:line="79"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In addition, the ASX maintains a website that contains documents required under Australian securities laws and other information regarding our filings at www.asx.com.au. To access these filings, go to our website investors.life360.com and click on the “ASX Announcements” under the “Financials” heading. The information found on our website is not incorporated by reference into this Proxy Statement or any other report we file with or furnish to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3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34290</wp:posOffset>
            </wp:positionV>
            <wp:extent cx="24688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Russell Burke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2025</w:t>
      </w:r>
    </w:p>
    <w:p>
      <w:pPr>
        <w:spacing w:after="0" w:line="329"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2024 is available without charge upon written request to: Chief Financial Officer, Life360, Inc., 1900 S Norfolk Street, Suite 310, San Mateo, CA 94403.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w:t>
      </w:r>
    </w:p>
    <w:p>
      <w:pPr>
        <w:spacing w:after="0" w:line="5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Non-GAAP financial measures include earnings before interest, taxes, depreciation, and amortization (“EBITDA”), adjusted earnings before interest, taxes, depreciation, and amortization (“Adjusted EBITDA”) and Adjusted EBITDA margin.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is defined as net income (loss), excluding:</w:t>
      </w:r>
    </w:p>
    <w:p>
      <w:pPr>
        <w:spacing w:after="0" w:line="117"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(i)  convertible notes, derivative liability, and investment fair value adjustments, (ii) gain and loss on settlement of convertible notes and derivative liability, (iii) provision for (benefit from) income taxes, (iv) depreciation and amortization and (v) other income, net.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Adjusted EBITDA is defined as net loss, excluding:</w:t>
      </w:r>
    </w:p>
    <w:p>
      <w:pPr>
        <w:spacing w:after="0" w:line="117"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(i)  convertible notes, derivative liability, and investment fair value adjustments, (ii) gain and loss on settlement of convertible notes and derivative liability, (iii) provision for (benefit from) income taxes, (iv) depreciation and amortization, (v) other income, net, (vi) stock-based compensation, (vii) IPO-related transaction costs, including secondary offering costs (viii) workplace restructuring costs, (ix) the write-off of obsolete inventory, (x) the adjustment in connection with membership benefit, and (xi) warehouse relocation costs.</w:t>
      </w:r>
    </w:p>
    <w:p>
      <w:pPr>
        <w:spacing w:after="0" w:line="7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above items are excluded from EBITDA and Adjusted EBITDA because these items are non-cash in nature, because the amount and timing of these items are unpredictable, or because these items are not driven by core results of operations and render comparisons with prior periods and competitors less meaningful. We believe these non-GAAP financial measures provide useful information to investors and others in understanding and evaluating our results of operations, as well as providing useful measures for period-to-period comparisons of our business performance. Moreover, we disclose these non-GAAP financial measures because they are key measurements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may not be comparable to similarly titled measures used by other companies and should not be used as substitutes for, analysis of, or superior to, our financial information presented in accordance with GAAP. Additionally, we do not consider our non-GAAP financial measures as superior to, or a substitute for, the equivalent measures calculated and presented in accordance with GAAP. As such, you should consider this non-GAAP financial measure in addition to other financial performance measures presented in accordance with GAAP, including various cash flow metrics, net loss and our other GAAP results.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GAAP measure,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and Adjusted EBITDA for the periods presented:</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82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96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(3,146)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(4,555)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(28,171)</w:t>
            </w:r>
          </w:p>
        </w:tc>
        <w:tc>
          <w:tcPr>
            <w:tcW w:w="0" w:type="dxa"/>
            <w:vAlign w:val="bottom"/>
          </w:tcPr>
          <w:p>
            <w:pPr>
              <w:spacing w:after="0"/>
              <w:rPr>
                <w:sz w:val="1"/>
                <w:szCs w:val="1"/>
                <w:color w:val="auto"/>
              </w:rPr>
            </w:pPr>
          </w:p>
        </w:tc>
      </w:tr>
      <w:tr>
        <w:trPr>
          <w:trHeight w:val="247"/>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Convertible notes fair value adjustment</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80" w:type="dxa"/>
            <w:vAlign w:val="bottom"/>
            <w:tcBorders>
              <w:right w:val="single" w:sz="8" w:color="CCEEFF"/>
            </w:tcBorders>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Derivative liability fair value adjustment</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Borders>
              <w:left w:val="single" w:sz="8" w:color="CCEEFF"/>
            </w:tcBorders>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on settlement of convertible notes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derivative liability</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(1,924)</w:t>
            </w:r>
          </w:p>
        </w:tc>
        <w:tc>
          <w:tcPr>
            <w:tcW w:w="40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Gain on change in fair value of investment</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(5,389)</w:t>
            </w:r>
          </w:p>
        </w:tc>
        <w:tc>
          <w:tcPr>
            <w:tcW w:w="4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(2,217)</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(4,362)</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31"/>
        </w:trPr>
        <w:tc>
          <w:tcPr>
            <w:tcW w:w="45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4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 (2,045)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(3,768)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(20,842)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11,762</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42,269</w:t>
            </w:r>
          </w:p>
        </w:tc>
        <w:tc>
          <w:tcPr>
            <w:tcW w:w="80" w:type="dxa"/>
            <w:vAlign w:val="bottom"/>
            <w:tcBorders>
              <w:left w:val="single" w:sz="8" w:color="CCEEFF"/>
            </w:tcBorders>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IPO-related transaction costs, including secondary offering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4580" w:type="dxa"/>
            <w:vAlign w:val="bottom"/>
            <w:tcBorders>
              <w:right w:val="single" w:sz="8" w:color="CCEEFF"/>
            </w:tcBorders>
            <w:shd w:val="clear" w:color="auto" w:fill="CCEEFF"/>
          </w:tcPr>
          <w:p>
            <w:pPr>
              <w:spacing w:after="0" w:line="290" w:lineRule="exact"/>
              <w:rPr>
                <w:sz w:val="20"/>
                <w:szCs w:val="20"/>
                <w:color w:val="auto"/>
              </w:rPr>
            </w:pPr>
            <w:r>
              <w:rPr>
                <w:rFonts w:ascii="Times New Roman" w:cs="Times New Roman" w:eastAsia="Times New Roman" w:hAnsi="Times New Roman"/>
                <w:sz w:val="18"/>
                <w:szCs w:val="18"/>
                <w:color w:val="auto"/>
              </w:rPr>
              <w:t>Workplace restructuring costs</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lef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left w:val="single" w:sz="8" w:color="CCEEFF"/>
            </w:tcBorders>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Write-off of obsolete inventory</w:t>
            </w:r>
            <w:r>
              <w:rPr>
                <w:rFonts w:ascii="Times New Roman" w:cs="Times New Roman" w:eastAsia="Times New Roman" w:hAnsi="Times New Roman"/>
                <w:sz w:val="29"/>
                <w:szCs w:val="29"/>
                <w:color w:val="auto"/>
                <w:vertAlign w:val="superscript"/>
              </w:rPr>
              <w:t>(5)</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80" w:type="dxa"/>
            <w:vAlign w:val="bottom"/>
            <w:tcBorders>
              <w:right w:val="single" w:sz="8" w:color="CCEEFF"/>
            </w:tcBorders>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Adjustment in connection with membership benefit</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CCEEFF"/>
            </w:tcBorders>
            <w:shd w:val="clear" w:color="auto" w:fill="CCEEFF"/>
          </w:tcPr>
          <w:p>
            <w:pPr>
              <w:spacing w:after="0"/>
              <w:rPr>
                <w:sz w:val="24"/>
                <w:szCs w:val="2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spacing w:after="0"/>
              <w:rPr>
                <w:sz w:val="24"/>
                <w:szCs w:val="2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83"/>
        </w:trPr>
        <w:tc>
          <w:tcPr>
            <w:tcW w:w="4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Warehouse relocation costs</w:t>
            </w:r>
            <w:r>
              <w:rPr>
                <w:rFonts w:ascii="Times New Roman" w:cs="Times New Roman" w:eastAsia="Times New Roman" w:hAnsi="Times New Roman"/>
                <w:sz w:val="29"/>
                <w:szCs w:val="29"/>
                <w:color w:val="auto"/>
                <w:vertAlign w:val="superscript"/>
              </w:rPr>
              <w:t>(7)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$ 8,887</w:t>
            </w:r>
          </w:p>
        </w:tc>
        <w:tc>
          <w:tcPr>
            <w:tcW w:w="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$ 45,484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$ 20,559</w:t>
            </w:r>
          </w:p>
        </w:tc>
        <w:tc>
          <w:tcPr>
            <w:tcW w:w="12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5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right w:val="single" w:sz="8" w:color="CCEEFF"/>
            </w:tcBorders>
            <w:shd w:val="clear" w:color="auto" w:fill="CCEEFF"/>
          </w:tcPr>
          <w:p>
            <w:pPr>
              <w:spacing w:after="0"/>
              <w:rPr>
                <w:sz w:val="2"/>
                <w:szCs w:val="2"/>
                <w:color w:val="auto"/>
              </w:rPr>
            </w:pPr>
          </w:p>
        </w:tc>
        <w:tc>
          <w:tcPr>
            <w:tcW w:w="400" w:type="dxa"/>
            <w:vAlign w:val="bottom"/>
            <w:tcBorders>
              <w:top w:val="single" w:sz="8" w:color="CCEEFF"/>
              <w:left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45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change in fair value of the September 2021 Convertibles Notes issued in connection with the acquisition of Jio, Inc. and the derivative liability associated with the July 2021 Convertible Notes issued to certain investors.</w:t>
      </w:r>
    </w:p>
    <w:p>
      <w:pPr>
        <w:ind w:left="640" w:right="67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change in fair value of an investment in non-marketable equity securities carried at cost less impairments, if any, plus or minus changes in observable prices.</w:t>
      </w: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on fixed assets and amortization of acquired intangible assets.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personnel and severance related expenses.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write-off of raw materials that have no alternative use to the Company following the decision to halt development.</w:t>
      </w:r>
    </w:p>
    <w:p>
      <w:pPr>
        <w:spacing w:after="0" w:line="41"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an adjustment recorded to reduce product costs recorded to cost of revenue in connection with the discontinuation of certain battery related membership benefits.</w:t>
      </w: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non-recurring warehouse relocation costs in relation to the Company’s transition to a new logistics partner.</w:t>
      </w:r>
    </w:p>
    <w:p>
      <w:pPr>
        <w:spacing w:after="0" w:line="10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102870</wp:posOffset>
            </wp:positionV>
            <wp:extent cx="5786120" cy="8178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86120" cy="817816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102870</wp:posOffset>
            </wp:positionV>
            <wp:extent cx="5786120" cy="8178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86120" cy="817816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lvl w:ilvl="1">
      <w:lvlJc w:val="left"/>
      <w:lvlText w:val="☐"/>
      <w:numFmt w:val="bullet"/>
      <w:start w:val="1"/>
    </w:lvl>
  </w:abstractNum>
  <w:abstractNum w:abstractNumId="1">
    <w:nsid w:val="614FD4A1"/>
    <w:multiLevelType w:val="hybridMultilevel"/>
    <w:lvl w:ilvl="0">
      <w:lvlJc w:val="left"/>
      <w:lvlText w:val="☒"/>
      <w:numFmt w:val="bullet"/>
      <w:start w:val="1"/>
    </w:lvl>
    <w:lvl w:ilvl="1">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1)"/>
      <w:numFmt w:val="lowerLetter"/>
      <w:start w:val="2"/>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bullet"/>
      <w:start w:val="1"/>
    </w:lvl>
  </w:abstractNum>
  <w:abstractNum w:abstractNumId="9">
    <w:nsid w:val="5C482A97"/>
    <w:multiLevelType w:val="hybridMultilevel"/>
    <w:lvl w:ilvl="0">
      <w:lvlJc w:val="left"/>
      <w:lvlText w:val="2"/>
      <w:numFmt w:val="bullet"/>
      <w:start w:val="1"/>
    </w:lvl>
  </w:abstractNum>
  <w:abstractNum w:abstractNumId="10">
    <w:nsid w:val="2463B9EA"/>
    <w:multiLevelType w:val="hybridMultilevel"/>
    <w:lvl w:ilvl="0">
      <w:lvlJc w:val="left"/>
      <w:lvlText w:val="3"/>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lowerRoman"/>
      <w:start w:val="2"/>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6"/>
    </w:lvl>
    <w:lvl w:ilvl="1">
      <w:lvlJc w:val="left"/>
      <w:lvlText w:val="(%2)"/>
      <w:numFmt w:val="lowerRoman"/>
      <w:start w:val="5"/>
    </w:lvl>
  </w:abstractNum>
  <w:abstractNum w:abstractNumId="24">
    <w:nsid w:val="7A6D8D3C"/>
    <w:multiLevelType w:val="hybridMultilevel"/>
    <w:lvl w:ilvl="0">
      <w:lvlJc w:val="left"/>
      <w:lvlText w:val="%1"/>
      <w:numFmt w:val="decimal"/>
      <w:start w:val="1"/>
    </w:lvl>
    <w:lvl w:ilvl="1">
      <w:lvlJc w:val="left"/>
      <w:lvlText w:val="(%2)"/>
      <w:numFmt w:val="lowerRoman"/>
      <w:start w:val="3"/>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2"/>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Roman"/>
      <w:start w:val="5"/>
    </w:lvl>
  </w:abstractNum>
  <w:abstractNum w:abstractNumId="48">
    <w:nsid w:val="180115BE"/>
    <w:multiLevelType w:val="hybridMultilevel"/>
    <w:lvl w:ilvl="0">
      <w:lvlJc w:val="left"/>
      <w:lvlText w:val="(%1)"/>
      <w:numFmt w:val="lowerRoman"/>
      <w:start w:val="7"/>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1)"/>
      <w:numFmt w:val="decimal"/>
      <w:start w:val="1"/>
    </w:lvl>
    <w:lvl w:ilvl="1">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4"/>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5"/>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3"/>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Roman"/>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2025-04-16T14:06:56Z</dcterms:created>
  <dcterms:modified xsi:type="dcterms:W3CDTF">2025-04-16T14:06:56Z</dcterms:modified>
</cp:coreProperties>
</file>