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31,264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168,065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May 29, 2024. In light of the performance-based vesting condition, this grant was not reportable under Section 16 until the performance metric was satisfied. On March 8, 2025, it was determined that the performance metric had been met. Each PRSU represents a contingent right to receive one share of the Issuer's common stock upon settlement. 25% of the PRSUs vested on February 15, 2025, with the remaining 75% converting to time-based RSUs and vesting in twelve equal quarterly installments thereafter, subject to the Reporting Person's continuous service through each vest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106,756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2025-03-11T17:57:53Z</dcterms:created>
  <dcterms:modified xsi:type="dcterms:W3CDTF">2025-03-11T17:57:53Z</dcterms:modified>
</cp:coreProperties>
</file>