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8000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8000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Synge James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8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2"/>
              </w:rPr>
              <w:t>501,815</w:t>
            </w:r>
            <w:r>
              <w:rPr>
                <w:rFonts w:ascii="Times New Roman" w:cs="Times New Roman" w:eastAsia="Times New Roman" w:hAnsi="Times New Roman"/>
                <w:sz w:val="25"/>
                <w:szCs w:val="25"/>
                <w:color w:val="008000"/>
                <w:w w:val="92"/>
                <w:vertAlign w:val="superscript"/>
              </w:rPr>
              <w:t>(1)</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64,379</w:t>
            </w:r>
            <w:r>
              <w:rPr>
                <w:rFonts w:ascii="Times New Roman" w:cs="Times New Roman" w:eastAsia="Times New Roman" w:hAnsi="Times New Roman"/>
                <w:sz w:val="25"/>
                <w:szCs w:val="25"/>
                <w:color w:val="008000"/>
                <w:w w:val="91"/>
                <w:vertAlign w:val="superscript"/>
              </w:rPr>
              <w:t>(2)</w:t>
            </w:r>
          </w:p>
        </w:tc>
        <w:tc>
          <w:tcPr>
            <w:tcW w:w="7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20"/>
                <w:szCs w:val="20"/>
                <w:color w:val="0000FF"/>
              </w:rPr>
              <w:t>Held by ICCA Labs, LLC</w:t>
            </w:r>
            <w:r>
              <w:rPr>
                <w:rFonts w:ascii="Times New Roman" w:cs="Times New Roman" w:eastAsia="Times New Roman" w:hAnsi="Times New Roman"/>
                <w:sz w:val="25"/>
                <w:szCs w:val="25"/>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1"/>
              </w:rPr>
              <w:t>70,573</w:t>
            </w:r>
            <w:r>
              <w:rPr>
                <w:rFonts w:ascii="Times New Roman" w:cs="Times New Roman" w:eastAsia="Times New Roman" w:hAnsi="Times New Roman"/>
                <w:sz w:val="25"/>
                <w:szCs w:val="25"/>
                <w:color w:val="008000"/>
                <w:w w:val="91"/>
                <w:vertAlign w:val="superscript"/>
              </w:rPr>
              <w:t>(4)</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Stynge Pty Ltd ATF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Sandy Bay Trust</w:t>
            </w:r>
            <w:r>
              <w:rPr>
                <w:rFonts w:ascii="Times New Roman" w:cs="Times New Roman" w:eastAsia="Times New Roman" w:hAnsi="Times New Roman"/>
                <w:sz w:val="25"/>
                <w:szCs w:val="25"/>
                <w:color w:val="008000"/>
                <w:vertAlign w:val="superscript"/>
              </w:rPr>
              <w:t>(5)</w:t>
            </w: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9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780" w:type="dxa"/>
            <w:vAlign w:val="bottom"/>
            <w:tcBorders>
              <w:bottom w:val="single" w:sz="8" w:color="2C2C2C"/>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8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4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jc w:val="center"/>
              <w:ind w:left="5"/>
              <w:spacing w:after="0" w:line="165" w:lineRule="exact"/>
              <w:rPr>
                <w:sz w:val="20"/>
                <w:szCs w:val="20"/>
                <w:color w:val="auto"/>
              </w:rPr>
            </w:pPr>
            <w:r>
              <w:rPr>
                <w:rFonts w:ascii="Arial" w:cs="Arial" w:eastAsia="Arial" w:hAnsi="Arial"/>
                <w:sz w:val="15"/>
                <w:szCs w:val="15"/>
                <w:b w:val="1"/>
                <w:bCs w:val="1"/>
                <w:color w:val="auto"/>
              </w:rPr>
              <w:t>Expiration</w:t>
            </w: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2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0000FF"/>
              </w:rPr>
              <w:t>04/29/2031</w:t>
            </w:r>
          </w:p>
        </w:tc>
        <w:tc>
          <w:tcPr>
            <w:tcW w:w="1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Common Stock</w:t>
            </w:r>
          </w:p>
        </w:tc>
        <w:tc>
          <w:tcPr>
            <w:tcW w:w="7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12,203</w:t>
            </w:r>
          </w:p>
        </w:tc>
        <w:tc>
          <w:tcPr>
            <w:tcW w:w="40" w:type="dxa"/>
            <w:vAlign w:val="bottom"/>
          </w:tcPr>
          <w:p>
            <w:pPr>
              <w:spacing w:after="0"/>
              <w:rPr>
                <w:sz w:val="24"/>
                <w:szCs w:val="24"/>
                <w:color w:val="auto"/>
              </w:rPr>
            </w:pPr>
          </w:p>
        </w:tc>
        <w:tc>
          <w:tcPr>
            <w:tcW w:w="940" w:type="dxa"/>
            <w:vAlign w:val="bottom"/>
            <w:gridSpan w:val="2"/>
          </w:tcPr>
          <w:p>
            <w:pPr>
              <w:jc w:val="right"/>
              <w:ind w:right="191"/>
              <w:spacing w:after="0"/>
              <w:rPr>
                <w:sz w:val="20"/>
                <w:szCs w:val="20"/>
                <w:color w:val="auto"/>
              </w:rPr>
            </w:pPr>
            <w:r>
              <w:rPr>
                <w:rFonts w:ascii="Times New Roman" w:cs="Times New Roman" w:eastAsia="Times New Roman" w:hAnsi="Times New Roman"/>
                <w:sz w:val="20"/>
                <w:szCs w:val="20"/>
                <w:color w:val="0000FF"/>
              </w:rPr>
              <w:t>13.35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2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0000FF"/>
              </w:rPr>
              <w:t>05/20/2032</w:t>
            </w:r>
          </w:p>
        </w:tc>
        <w:tc>
          <w:tcPr>
            <w:tcW w:w="1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Common Stock</w:t>
            </w:r>
          </w:p>
        </w:tc>
        <w:tc>
          <w:tcPr>
            <w:tcW w:w="7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15,794</w:t>
            </w:r>
          </w:p>
        </w:tc>
        <w:tc>
          <w:tcPr>
            <w:tcW w:w="40" w:type="dxa"/>
            <w:vAlign w:val="bottom"/>
          </w:tcPr>
          <w:p>
            <w:pPr>
              <w:spacing w:after="0"/>
              <w:rPr>
                <w:sz w:val="24"/>
                <w:szCs w:val="24"/>
                <w:color w:val="auto"/>
              </w:rPr>
            </w:pPr>
          </w:p>
        </w:tc>
        <w:tc>
          <w:tcPr>
            <w:tcW w:w="940" w:type="dxa"/>
            <w:vAlign w:val="bottom"/>
            <w:gridSpan w:val="2"/>
          </w:tcPr>
          <w:p>
            <w:pPr>
              <w:jc w:val="right"/>
              <w:ind w:right="231"/>
              <w:spacing w:after="0"/>
              <w:rPr>
                <w:sz w:val="20"/>
                <w:szCs w:val="20"/>
                <w:color w:val="auto"/>
              </w:rPr>
            </w:pPr>
            <w:r>
              <w:rPr>
                <w:rFonts w:ascii="Times New Roman" w:cs="Times New Roman" w:eastAsia="Times New Roman" w:hAnsi="Times New Roman"/>
                <w:sz w:val="20"/>
                <w:szCs w:val="20"/>
                <w:color w:val="0000FF"/>
              </w:rPr>
              <w:t>8.19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44"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480,347 shares of the Issuer's common stock underlying 1,441,041 Chess Depositary Interests ("CDIs"). The CDIs are traded on the Australian Securities Exchange (the "ASX") and are held by CHESS Depositary Nominees Pty, Limited, a subsidiary of ASX Limited, the company that operates the ASX. Also includes 4,581 restricted stock units, each of which represents a contingent right to receive one share of the Issuer's common stock upon vesting.</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the Issuer's common stock underlying 193,137 CDIs.</w:t>
      </w:r>
    </w:p>
    <w:p>
      <w:pPr>
        <w:spacing w:after="0" w:line="52" w:lineRule="exact"/>
        <w:rPr>
          <w:rFonts w:ascii="Times New Roman" w:cs="Times New Roman" w:eastAsia="Times New Roman" w:hAnsi="Times New Roman"/>
          <w:sz w:val="15"/>
          <w:szCs w:val="15"/>
          <w:color w:val="008000"/>
        </w:rPr>
      </w:pPr>
    </w:p>
    <w:p>
      <w:pPr>
        <w:ind w:left="40" w:right="260" w:firstLine="5"/>
        <w:spacing w:after="0" w:line="244"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has shared investment control over Carthona Capital FS Pty Ltd. ("Carthona Capital"). Carthona Capital is a member of ICCA Labs, LLC, an entity that holds an aggregate of 133,408 shares of the Issuer's common stock underlying 400,224 CDIs. The number of shares reported herein represents Carthona Capital's proportionate ownership interest in ICCA Labs, LLC. The Reporting Person disclaims beneficial ownership of these securities except to the extent of his pecuniary interest therein.</w:t>
      </w:r>
    </w:p>
    <w:p>
      <w:pPr>
        <w:spacing w:after="0" w:line="29"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the Issuer's common stock underlying 211,720 CDIs.</w:t>
      </w:r>
    </w:p>
    <w:p>
      <w:pPr>
        <w:spacing w:after="0" w:line="52" w:lineRule="exact"/>
        <w:rPr>
          <w:rFonts w:ascii="Times New Roman" w:cs="Times New Roman" w:eastAsia="Times New Roman" w:hAnsi="Times New Roman"/>
          <w:sz w:val="15"/>
          <w:szCs w:val="15"/>
          <w:color w:val="008000"/>
        </w:rPr>
      </w:pPr>
    </w:p>
    <w:p>
      <w:pPr>
        <w:ind w:left="40" w:right="1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has shared investment control of Stynge Pty Ltd ATF Sandy Bay Trust. The Reporting Person disclaims beneficial ownership of these securities except to the extent of his pecuniary interest therein.</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in equal quarterly installments beginning on August 15, 2022, until such time as the option is 100% vested, subject to the continuing service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5/25/2022.</w:t>
      </w:r>
    </w:p>
    <w:p>
      <w:pPr>
        <w:ind w:right="78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James Synge Name: James Synge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661"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2022-06-27T18:23:53Z</dcterms:created>
  <dcterms:modified xsi:type="dcterms:W3CDTF">2022-06-27T18:23:53Z</dcterms:modified>
</cp:coreProperties>
</file>