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60775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07758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78"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Burke Russell John</w:t>
              </w:r>
            </w:hyperlink>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2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84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400" w:type="dxa"/>
            <w:vAlign w:val="bottom"/>
            <w:tcBorders>
              <w:top w:val="single" w:sz="8" w:color="EEEEEE"/>
            </w:tcBorders>
          </w:tcPr>
          <w:p>
            <w:pPr>
              <w:spacing w:after="0"/>
              <w:rPr>
                <w:sz w:val="3"/>
                <w:szCs w:val="3"/>
                <w:color w:val="auto"/>
              </w:rPr>
            </w:pPr>
          </w:p>
        </w:tc>
        <w:tc>
          <w:tcPr>
            <w:tcW w:w="162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6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620" w:type="dxa"/>
            <w:vAlign w:val="bottom"/>
          </w:tcPr>
          <w:p>
            <w:pPr>
              <w:spacing w:after="0"/>
              <w:rPr>
                <w:sz w:val="18"/>
                <w:szCs w:val="18"/>
                <w:color w:val="auto"/>
              </w:rPr>
            </w:pPr>
          </w:p>
        </w:tc>
        <w:tc>
          <w:tcPr>
            <w:tcW w:w="12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11/19/2025</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3"/>
            <w:vMerge w:val="continue"/>
          </w:tcPr>
          <w:p>
            <w:pPr>
              <w:spacing w:after="0"/>
              <w:rPr>
                <w:sz w:val="7"/>
                <w:szCs w:val="7"/>
                <w:color w:val="auto"/>
              </w:rPr>
            </w:pPr>
          </w:p>
        </w:tc>
        <w:tc>
          <w:tcPr>
            <w:tcW w:w="1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0"/>
          <w:szCs w:val="20"/>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0"/>
          <w:szCs w:val="20"/>
          <w:color w:val="auto"/>
        </w:rPr>
      </w:pPr>
    </w:p>
    <w:p>
      <w:pPr>
        <w:ind w:left="797"/>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0" w:lineRule="exact"/>
        <w:rPr>
          <w:sz w:val="20"/>
          <w:szCs w:val="20"/>
          <w:color w:val="auto"/>
        </w:rPr>
      </w:pPr>
    </w:p>
    <w:p>
      <w:pPr>
        <w:sectPr>
          <w:pgSz w:w="11900" w:h="16838" w:orient="portrait"/>
          <w:cols w:equalWidth="0" w:num="2">
            <w:col w:w="7680" w:space="63"/>
            <w:col w:w="3337"/>
          </w:cols>
          <w:pgMar w:left="460" w:top="216" w:right="359" w:bottom="78"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740" w:type="dxa"/>
            <w:vAlign w:val="bottom"/>
            <w:tcBorders>
              <w:bottom w:val="single" w:sz="8" w:color="9A9A9A"/>
            </w:tcBorders>
          </w:tcPr>
          <w:p>
            <w:pPr>
              <w:spacing w:after="0"/>
              <w:rPr>
                <w:sz w:val="14"/>
                <w:szCs w:val="14"/>
                <w:color w:val="auto"/>
              </w:rPr>
            </w:pPr>
          </w:p>
        </w:tc>
        <w:tc>
          <w:tcPr>
            <w:tcW w:w="3640" w:type="dxa"/>
            <w:vAlign w:val="bottom"/>
            <w:gridSpan w:val="5"/>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580" w:type="dxa"/>
            <w:vAlign w:val="bottom"/>
            <w:gridSpan w:val="5"/>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auto"/>
              </w:rPr>
              <w:t>Line)</w:t>
            </w: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920" w:type="dxa"/>
            <w:vAlign w:val="bottom"/>
            <w:gridSpan w:val="4"/>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SAN MATEO</w:t>
            </w: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740" w:type="dxa"/>
            <w:vAlign w:val="bottom"/>
            <w:vMerge w:val="restart"/>
          </w:tcPr>
          <w:p>
            <w:pPr>
              <w:ind w:left="540"/>
              <w:spacing w:after="0"/>
              <w:rPr>
                <w:sz w:val="20"/>
                <w:szCs w:val="20"/>
                <w:color w:val="auto"/>
              </w:rPr>
            </w:pPr>
            <w:r>
              <w:rPr>
                <w:rFonts w:ascii="Times New Roman" w:cs="Times New Roman" w:eastAsia="Times New Roman" w:hAnsi="Times New Roman"/>
                <w:sz w:val="17"/>
                <w:szCs w:val="17"/>
                <w:color w:val="0000FF"/>
              </w:rPr>
              <w:t>94403</w:t>
            </w:r>
          </w:p>
        </w:tc>
        <w:tc>
          <w:tcPr>
            <w:tcW w:w="5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9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7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920" w:type="dxa"/>
            <w:vAlign w:val="bottom"/>
            <w:gridSpan w:val="4"/>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9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740" w:type="dxa"/>
            <w:vAlign w:val="bottom"/>
            <w:tcBorders>
              <w:bottom w:val="single" w:sz="8" w:color="9A9A9A"/>
            </w:tcBorders>
          </w:tcPr>
          <w:p>
            <w:pPr>
              <w:spacing w:after="0"/>
              <w:rPr>
                <w:sz w:val="6"/>
                <w:szCs w:val="6"/>
                <w:color w:val="auto"/>
              </w:rPr>
            </w:pPr>
          </w:p>
        </w:tc>
        <w:tc>
          <w:tcPr>
            <w:tcW w:w="5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20" w:type="dxa"/>
            <w:vAlign w:val="bottom"/>
            <w:vMerge w:val="restart"/>
          </w:tcPr>
          <w:p>
            <w:pPr>
              <w:ind w:left="2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780" w:type="dxa"/>
            <w:vAlign w:val="bottom"/>
            <w:vMerge w:val="restart"/>
          </w:tcPr>
          <w:p>
            <w:pPr>
              <w:ind w:left="100"/>
              <w:spacing w:after="0"/>
              <w:rPr>
                <w:sz w:val="20"/>
                <w:szCs w:val="20"/>
                <w:color w:val="auto"/>
              </w:rPr>
            </w:pPr>
            <w:r>
              <w:rPr>
                <w:rFonts w:ascii="Arial" w:cs="Arial" w:eastAsia="Arial" w:hAnsi="Arial"/>
                <w:sz w:val="13"/>
                <w:szCs w:val="13"/>
                <w:color w:val="auto"/>
              </w:rPr>
              <w:t>(State)</w:t>
            </w:r>
          </w:p>
        </w:tc>
        <w:tc>
          <w:tcPr>
            <w:tcW w:w="2240" w:type="dxa"/>
            <w:vAlign w:val="bottom"/>
            <w:gridSpan w:val="2"/>
            <w:vMerge w:val="restart"/>
          </w:tcPr>
          <w:p>
            <w:pPr>
              <w:ind w:left="540"/>
              <w:spacing w:after="0"/>
              <w:rPr>
                <w:sz w:val="20"/>
                <w:szCs w:val="20"/>
                <w:color w:val="auto"/>
              </w:rPr>
            </w:pPr>
            <w:r>
              <w:rPr>
                <w:rFonts w:ascii="Arial" w:cs="Arial" w:eastAsia="Arial" w:hAnsi="Arial"/>
                <w:sz w:val="13"/>
                <w:szCs w:val="13"/>
                <w:color w:val="auto"/>
              </w:rPr>
              <w:t>(Zip)</w:t>
            </w: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2240" w:type="dxa"/>
            <w:vAlign w:val="bottom"/>
            <w:gridSpan w:val="2"/>
            <w:vMerge w:val="continue"/>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tcPr>
          <w:p>
            <w:pPr>
              <w:spacing w:after="0"/>
              <w:rPr>
                <w:sz w:val="10"/>
                <w:szCs w:val="10"/>
                <w:color w:val="auto"/>
              </w:rPr>
            </w:pPr>
          </w:p>
        </w:tc>
        <w:tc>
          <w:tcPr>
            <w:tcW w:w="5420" w:type="dxa"/>
            <w:vAlign w:val="bottom"/>
            <w:tcBorders>
              <w:bottom w:val="single" w:sz="8" w:color="2C2C2C"/>
            </w:tcBorders>
            <w:gridSpan w:val="7"/>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8"/>
          </w:tcPr>
          <w:p>
            <w:pPr>
              <w:ind w:left="2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000" w:type="dxa"/>
            <w:vAlign w:val="bottom"/>
            <w:tcBorders>
              <w:bottom w:val="single" w:sz="8" w:color="2C2C2C"/>
            </w:tcBorders>
            <w:gridSpan w:val="3"/>
          </w:tcPr>
          <w:p>
            <w:pPr>
              <w:spacing w:after="0"/>
              <w:rPr>
                <w:sz w:val="3"/>
                <w:szCs w:val="3"/>
                <w:color w:val="auto"/>
              </w:rPr>
            </w:pPr>
          </w:p>
        </w:tc>
        <w:tc>
          <w:tcPr>
            <w:tcW w:w="224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40" w:type="dxa"/>
            <w:vAlign w:val="bottom"/>
            <w:gridSpan w:val="2"/>
          </w:tcPr>
          <w:p>
            <w:pPr>
              <w:ind w:left="12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40" w:type="dxa"/>
            <w:vAlign w:val="bottom"/>
            <w:gridSpan w:val="2"/>
          </w:tcPr>
          <w:p>
            <w:pPr>
              <w:ind w:left="12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40" w:type="dxa"/>
            <w:vAlign w:val="bottom"/>
            <w:gridSpan w:val="2"/>
          </w:tcPr>
          <w:p>
            <w:pPr>
              <w:ind w:left="122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8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80" w:type="dxa"/>
            <w:vAlign w:val="bottom"/>
            <w:tcBorders>
              <w:bottom w:val="single" w:sz="8" w:color="2C2C2C"/>
            </w:tcBorders>
          </w:tcPr>
          <w:p>
            <w:pPr>
              <w:spacing w:after="0"/>
              <w:rPr>
                <w:sz w:val="24"/>
                <w:szCs w:val="24"/>
                <w:color w:val="auto"/>
              </w:rPr>
            </w:pPr>
          </w:p>
        </w:tc>
        <w:tc>
          <w:tcPr>
            <w:tcW w:w="2240" w:type="dxa"/>
            <w:vAlign w:val="bottom"/>
            <w:tcBorders>
              <w:bottom w:val="single" w:sz="8" w:color="2C2C2C"/>
            </w:tcBorders>
            <w:gridSpan w:val="2"/>
          </w:tcPr>
          <w:p>
            <w:pPr>
              <w:ind w:left="1320"/>
              <w:spacing w:after="0"/>
              <w:rPr>
                <w:sz w:val="20"/>
                <w:szCs w:val="20"/>
                <w:color w:val="auto"/>
              </w:rPr>
            </w:pPr>
            <w:r>
              <w:rPr>
                <w:rFonts w:ascii="Times New Roman" w:cs="Times New Roman" w:eastAsia="Times New Roman" w:hAnsi="Times New Roman"/>
                <w:sz w:val="17"/>
                <w:szCs w:val="17"/>
                <w:color w:val="0000FF"/>
              </w:rPr>
              <w:t>11/19/2025</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6,500</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right"/>
              <w:ind w:right="5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3.58</w:t>
            </w:r>
          </w:p>
        </w:tc>
        <w:tc>
          <w:tcPr>
            <w:tcW w:w="1120" w:type="dxa"/>
            <w:vAlign w:val="bottom"/>
            <w:tcBorders>
              <w:bottom w:val="single" w:sz="8" w:color="2C2C2C"/>
            </w:tcBorders>
          </w:tcPr>
          <w:p>
            <w:pPr>
              <w:jc w:val="center"/>
              <w:ind w:right="116"/>
              <w:spacing w:after="0"/>
              <w:rPr>
                <w:sz w:val="20"/>
                <w:szCs w:val="20"/>
                <w:color w:val="auto"/>
              </w:rPr>
            </w:pPr>
            <w:r>
              <w:rPr>
                <w:rFonts w:ascii="Times New Roman" w:cs="Times New Roman" w:eastAsia="Times New Roman" w:hAnsi="Times New Roman"/>
                <w:sz w:val="17"/>
                <w:szCs w:val="17"/>
                <w:color w:val="0000FF"/>
              </w:rPr>
              <w:t>98,232</w:t>
            </w:r>
            <w:r>
              <w:rPr>
                <w:rFonts w:ascii="Times New Roman" w:cs="Times New Roman" w:eastAsia="Times New Roman" w:hAnsi="Times New Roman"/>
                <w:sz w:val="21"/>
                <w:szCs w:val="21"/>
                <w:color w:val="008000"/>
                <w:vertAlign w:val="superscript"/>
              </w:rPr>
              <w:t>(1)(2)</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Russell</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jc w:val="center"/>
              <w:ind w:right="176"/>
              <w:spacing w:after="0" w:line="208" w:lineRule="exact"/>
              <w:rPr>
                <w:sz w:val="20"/>
                <w:szCs w:val="20"/>
                <w:color w:val="auto"/>
              </w:rPr>
            </w:pPr>
            <w:r>
              <w:rPr>
                <w:rFonts w:ascii="Times New Roman" w:cs="Times New Roman" w:eastAsia="Times New Roman" w:hAnsi="Times New Roman"/>
                <w:sz w:val="17"/>
                <w:szCs w:val="17"/>
                <w:color w:val="0000FF"/>
              </w:rPr>
              <w:t>72,553</w:t>
            </w:r>
            <w:r>
              <w:rPr>
                <w:rFonts w:ascii="Times New Roman" w:cs="Times New Roman" w:eastAsia="Times New Roman" w:hAnsi="Times New Roman"/>
                <w:sz w:val="21"/>
                <w:szCs w:val="21"/>
                <w:color w:val="008000"/>
                <w:vertAlign w:val="superscript"/>
              </w:rPr>
              <w:t>(1)</w:t>
            </w:r>
          </w:p>
        </w:tc>
        <w:tc>
          <w:tcPr>
            <w:tcW w:w="92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John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Burke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0"/>
        </w:trPr>
        <w:tc>
          <w:tcPr>
            <w:tcW w:w="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3.58</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11/19/2025</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6,500</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05/19/2030</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6,500</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434,014</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3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transferred 9,523 directly held shares to the Russell John Burke Revocable Trust, which transfer was exempt from Section 16 pursuant to Rule 16a-13 under the Securities Exchange Act of 1934, as amended.</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91,732 restricted stock units previously granted, each of which represents a contingent right to receive one share of the Issuer's common stock upon vesting.</w:t>
      </w:r>
    </w:p>
    <w:p>
      <w:pPr>
        <w:spacing w:after="0" w:line="45" w:lineRule="exact"/>
        <w:rPr>
          <w:rFonts w:ascii="Times New Roman" w:cs="Times New Roman" w:eastAsia="Times New Roman" w:hAnsi="Times New Roman"/>
          <w:sz w:val="13"/>
          <w:szCs w:val="13"/>
          <w:color w:val="008000"/>
        </w:rPr>
      </w:pPr>
    </w:p>
    <w:p>
      <w:pPr>
        <w:jc w:val="both"/>
        <w:ind w:left="40" w:right="240" w:firstLine="3"/>
        <w:spacing w:after="0" w:line="23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vested and became exercisable as to 50% of the total number of shares over a four-year period with a one-year cliff, such that 25% vested and became exercisable on May 11, 2021, and the remaining shares vested in 47 equal monthly installments thereafter; and as to 50% of the total number of shares over a three-year period with a one-year cliff, such that 25% vested and became exercisable on May 11, 2021, and the remaining shares vested in 35 equal monthly installments thereafter, subject to the continuing employment of the Reporting Person on each vesting date. The stock option is now fully vested and exercisable.</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1" w:lineRule="exact"/>
        <w:rPr>
          <w:sz w:val="20"/>
          <w:szCs w:val="20"/>
          <w:color w:val="auto"/>
        </w:rPr>
      </w:pPr>
    </w:p>
    <w:p>
      <w:pPr>
        <w:ind w:left="40" w:right="160"/>
        <w:spacing w:after="0" w:line="250" w:lineRule="auto"/>
        <w:rPr>
          <w:sz w:val="20"/>
          <w:szCs w:val="20"/>
          <w:color w:val="auto"/>
        </w:rPr>
      </w:pPr>
      <w:r>
        <w:rPr>
          <w:rFonts w:ascii="Times New Roman" w:cs="Times New Roman" w:eastAsia="Times New Roman" w:hAnsi="Times New Roman"/>
          <w:sz w:val="13"/>
          <w:szCs w:val="13"/>
          <w:color w:val="008000"/>
        </w:rPr>
        <w:t>The vesting terms for the stock option reported herein were inadvertently misreported on the Reporting Person's initial Form 3 filed on June 27, 2022, and subsequent Forms 4 reporting transactions in the stock option, and have been corrected as of this Form 4.</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Allison Chang, Attorney-in- </w:t>
      </w:r>
      <w:r>
        <w:rPr>
          <w:rFonts w:ascii="Times New Roman" w:cs="Times New Roman" w:eastAsia="Times New Roman" w:hAnsi="Times New Roman"/>
          <w:sz w:val="32"/>
          <w:szCs w:val="32"/>
          <w:color w:val="0000FF"/>
          <w:vertAlign w:val="subscript"/>
        </w:rPr>
        <w:t>11/21/2025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39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4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4505"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7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33232"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2025-11-21T15:19:41Z</dcterms:created>
  <dcterms:modified xsi:type="dcterms:W3CDTF">2025-11-21T15:19:41Z</dcterms:modified>
</cp:coreProperties>
</file>