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960"/>
        <w:spacing w:after="0"/>
        <w:rPr>
          <w:sz w:val="20"/>
          <w:szCs w:val="20"/>
          <w:color w:val="auto"/>
        </w:rPr>
      </w:pPr>
      <w:r>
        <w:rPr>
          <w:rFonts w:ascii="Times New Roman" w:cs="Times New Roman" w:eastAsia="Times New Roman" w:hAnsi="Times New Roman"/>
          <w:sz w:val="19"/>
          <w:szCs w:val="19"/>
          <w:color w:val="auto"/>
        </w:rPr>
        <w:t>______________</w:t>
      </w:r>
    </w:p>
    <w:p>
      <w:pPr>
        <w:spacing w:after="0" w:line="3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2025</w:t>
      </w:r>
    </w:p>
    <w:p>
      <w:pPr>
        <w:spacing w:after="0" w:line="3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Life360,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34" w:right="359" w:bottom="879" w:gutter="0" w:footer="0" w:header="0"/>
        </w:sectPr>
      </w:pPr>
    </w:p>
    <w:p>
      <w:pPr>
        <w:spacing w:after="0" w:line="2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001-42120</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26-0197666</w:t>
      </w:r>
    </w:p>
    <w:p>
      <w:pPr>
        <w:spacing w:after="0" w:line="80" w:lineRule="exact"/>
        <w:rPr>
          <w:sz w:val="24"/>
          <w:szCs w:val="24"/>
          <w:color w:val="auto"/>
        </w:rPr>
      </w:pPr>
    </w:p>
    <w:p>
      <w:pPr>
        <w:sectPr>
          <w:pgSz w:w="11900" w:h="16838" w:orient="portrait"/>
          <w:cols w:equalWidth="0" w:num="3">
            <w:col w:w="4500" w:space="720"/>
            <w:col w:w="2980" w:space="720"/>
            <w:col w:w="2300"/>
          </w:cols>
          <w:pgMar w:left="320" w:top="1334" w:right="359" w:bottom="879" w:gutter="0" w:footer="0" w:header="0"/>
          <w:type w:val="continuous"/>
        </w:sect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73" w:lineRule="exact"/>
        <w:rPr>
          <w:sz w:val="24"/>
          <w:szCs w:val="24"/>
          <w:color w:val="auto"/>
        </w:rPr>
      </w:pPr>
    </w:p>
    <w:p>
      <w:pPr>
        <w:sectPr>
          <w:pgSz w:w="11900" w:h="16838" w:orient="portrait"/>
          <w:cols w:equalWidth="0" w:num="3">
            <w:col w:w="3900" w:space="720"/>
            <w:col w:w="3360" w:space="720"/>
            <w:col w:w="2520"/>
          </w:cols>
          <w:pgMar w:left="320" w:top="1334" w:right="359" w:bottom="879"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1900 South Norfolk Street, Suite 310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Mateo, CA 94403</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(415) 484-5244</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120"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9"/>
          <w:szCs w:val="19"/>
          <w:color w:val="auto"/>
        </w:rPr>
        <w:t>______________</w:t>
      </w:r>
    </w:p>
    <w:p>
      <w:pPr>
        <w:sectPr>
          <w:pgSz w:w="11900" w:h="16838" w:orient="portrait"/>
          <w:cols w:equalWidth="0" w:num="1">
            <w:col w:w="11220"/>
          </w:cols>
          <w:pgMar w:left="320" w:top="1334" w:right="359" w:bottom="879" w:gutter="0" w:footer="0" w:header="0"/>
          <w:type w:val="continuous"/>
        </w:sectPr>
      </w:pPr>
    </w:p>
    <w:p>
      <w:pPr>
        <w:spacing w:after="0" w:line="343" w:lineRule="exact"/>
        <w:rPr>
          <w:sz w:val="24"/>
          <w:szCs w:val="24"/>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9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LIF</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3"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left="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34" w:right="359" w:bottom="879" w:gutter="0" w:footer="0" w:header="0"/>
          <w:type w:val="continuous"/>
        </w:sectPr>
      </w:pPr>
    </w:p>
    <w:bookmarkStart w:id="1" w:name="page2"/>
    <w:bookmarkEnd w:id="1"/>
    <w:p>
      <w:pPr>
        <w:ind w:left="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to Security Holders;</w:t>
      </w:r>
    </w:p>
    <w:p>
      <w:pPr>
        <w:spacing w:after="0" w:line="121" w:lineRule="exact"/>
        <w:rPr>
          <w:sz w:val="20"/>
          <w:szCs w:val="20"/>
          <w:color w:val="auto"/>
        </w:rPr>
      </w:pPr>
    </w:p>
    <w:p>
      <w:pPr>
        <w:jc w:val="both"/>
        <w:ind w:left="20" w:firstLine="441"/>
        <w:spacing w:after="0" w:line="261" w:lineRule="auto"/>
        <w:rPr>
          <w:sz w:val="20"/>
          <w:szCs w:val="20"/>
          <w:color w:val="auto"/>
        </w:rPr>
      </w:pPr>
      <w:r>
        <w:rPr>
          <w:rFonts w:ascii="Times New Roman" w:cs="Times New Roman" w:eastAsia="Times New Roman" w:hAnsi="Times New Roman"/>
          <w:sz w:val="18"/>
          <w:szCs w:val="18"/>
          <w:color w:val="auto"/>
        </w:rPr>
        <w:t>On May 27, 2025, the Company held its Annual Meeting of Stockholders (the “Annual Meeting”). Present at the Annual Meeting virtually or by proxy were the holders of 56,988,330 shares of common stock of the Company, representing approximately 74.57% of the 76,421,100 shares of common stock outstanding as of the close of business on April 4, 2025, the record date for the Annual Meeting, and constituting a quorum for the transaction of business.</w:t>
      </w:r>
    </w:p>
    <w:p>
      <w:pPr>
        <w:spacing w:after="0" w:line="180" w:lineRule="exact"/>
        <w:rPr>
          <w:sz w:val="20"/>
          <w:szCs w:val="20"/>
          <w:color w:val="auto"/>
        </w:rPr>
      </w:pPr>
    </w:p>
    <w:p>
      <w:pPr>
        <w:jc w:val="both"/>
        <w:ind w:left="20" w:firstLine="441"/>
        <w:spacing w:after="0" w:line="266" w:lineRule="auto"/>
        <w:rPr>
          <w:sz w:val="20"/>
          <w:szCs w:val="20"/>
          <w:color w:val="auto"/>
        </w:rPr>
      </w:pPr>
      <w:r>
        <w:rPr>
          <w:rFonts w:ascii="Times New Roman" w:cs="Times New Roman" w:eastAsia="Times New Roman" w:hAnsi="Times New Roman"/>
          <w:sz w:val="18"/>
          <w:szCs w:val="18"/>
          <w:color w:val="auto"/>
        </w:rPr>
        <w:t>At the Annual Meeting, the Company’s stockholders voted on three proposals, each of which is described in more detail in the Company’s definitive proxy statement on Schedule 14A filed with the U.S. Securities and Exchange Commission on April 16, 2025 (the “Proxy Statement”). The following is a brief description of each matter voted upon and the certified results.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Proposal 1 – Election of Directors</w:t>
      </w:r>
    </w:p>
    <w:p>
      <w:pPr>
        <w:spacing w:after="0" w:line="119" w:lineRule="exact"/>
        <w:rPr>
          <w:sz w:val="20"/>
          <w:szCs w:val="20"/>
          <w:color w:val="auto"/>
        </w:rPr>
      </w:pPr>
    </w:p>
    <w:p>
      <w:pPr>
        <w:ind w:left="20" w:right="80"/>
        <w:spacing w:after="0" w:line="282" w:lineRule="auto"/>
        <w:rPr>
          <w:sz w:val="20"/>
          <w:szCs w:val="20"/>
          <w:color w:val="auto"/>
        </w:rPr>
      </w:pPr>
      <w:r>
        <w:rPr>
          <w:rFonts w:ascii="Times New Roman" w:cs="Times New Roman" w:eastAsia="Times New Roman" w:hAnsi="Times New Roman"/>
          <w:sz w:val="18"/>
          <w:szCs w:val="18"/>
          <w:color w:val="auto"/>
        </w:rPr>
        <w:t>The stockholders elected the following three Class III directors to hold office until the Company’s 2028 annual meeting of stockholders. The voting results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Uncast</w:t>
            </w:r>
            <w:r>
              <w:rPr>
                <w:rFonts w:ascii="Times New Roman" w:cs="Times New Roman" w:eastAsia="Times New Roman" w:hAnsi="Times New Roman"/>
                <w:sz w:val="10"/>
                <w:szCs w:val="10"/>
                <w:b w:val="1"/>
                <w:bCs w:val="1"/>
                <w:color w:val="auto"/>
              </w:rPr>
              <w:t>*</w:t>
            </w:r>
          </w:p>
        </w:tc>
      </w:tr>
      <w:tr>
        <w:trPr>
          <w:trHeight w:val="23"/>
        </w:trPr>
        <w:tc>
          <w:tcPr>
            <w:tcW w:w="2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52,332,314</w:t>
            </w:r>
          </w:p>
        </w:tc>
        <w:tc>
          <w:tcPr>
            <w:tcW w:w="100" w:type="dxa"/>
            <w:vAlign w:val="bottom"/>
            <w:shd w:val="clear" w:color="auto" w:fill="CCEEFF"/>
          </w:tcPr>
          <w:p>
            <w:pPr>
              <w:spacing w:after="0"/>
              <w:rPr>
                <w:sz w:val="22"/>
                <w:szCs w:val="22"/>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1,836,228</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2"/>
                <w:szCs w:val="22"/>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22,252,558</w:t>
            </w:r>
          </w:p>
        </w:tc>
      </w:tr>
      <w:tr>
        <w:trPr>
          <w:trHeight w:val="270"/>
        </w:trPr>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Charles “CJ” Prober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51,183,007</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2,985,535</w:t>
            </w:r>
          </w:p>
        </w:tc>
        <w:tc>
          <w:tcPr>
            <w:tcW w:w="10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22,252,558</w:t>
            </w:r>
          </w:p>
        </w:tc>
      </w:tr>
      <w:tr>
        <w:trPr>
          <w:trHeight w:val="270"/>
        </w:trPr>
        <w:tc>
          <w:tcPr>
            <w:tcW w:w="20" w:type="dxa"/>
            <w:vAlign w:val="bottom"/>
          </w:tcPr>
          <w:p>
            <w:pPr>
              <w:spacing w:after="0"/>
              <w:rPr>
                <w:sz w:val="23"/>
                <w:szCs w:val="23"/>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Philip Coghlan</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45,338,355</w:t>
            </w: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8,830,187</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22,252,558</w:t>
            </w:r>
          </w:p>
        </w:tc>
      </w:tr>
    </w:tbl>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Proposal 2 – Advisory vote on Executive Compensation</w:t>
      </w:r>
    </w:p>
    <w:p>
      <w:pPr>
        <w:spacing w:after="0" w:line="11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The stockholders approved, on an advisory, non-binding basis, the compensation of the Company’s named executive officers. The voting results were as follows:</w:t>
      </w: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24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24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Uncast</w:t>
            </w:r>
            <w:r>
              <w:rPr>
                <w:rFonts w:ascii="Times New Roman" w:cs="Times New Roman" w:eastAsia="Times New Roman" w:hAnsi="Times New Roman"/>
                <w:sz w:val="10"/>
                <w:szCs w:val="10"/>
                <w:b w:val="1"/>
                <w:bCs w:val="1"/>
                <w:color w:val="auto"/>
              </w:rPr>
              <w:t>*</w:t>
            </w:r>
          </w:p>
        </w:tc>
      </w:tr>
      <w:tr>
        <w:trPr>
          <w:trHeight w:val="23"/>
        </w:trPr>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4"/>
        </w:trPr>
        <w:tc>
          <w:tcPr>
            <w:tcW w:w="21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41,236,753</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12,822,948</w:t>
            </w:r>
          </w:p>
        </w:tc>
        <w:tc>
          <w:tcPr>
            <w:tcW w:w="8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108,841</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22,252,558</w:t>
            </w:r>
          </w:p>
        </w:tc>
      </w:tr>
    </w:tbl>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Proposal 3 – Ratification of the Independent Registered Public Accounting Firm</w:t>
      </w:r>
    </w:p>
    <w:p>
      <w:pPr>
        <w:spacing w:after="0" w:line="119" w:lineRule="exact"/>
        <w:rPr>
          <w:sz w:val="20"/>
          <w:szCs w:val="20"/>
          <w:color w:val="auto"/>
        </w:rPr>
      </w:pPr>
    </w:p>
    <w:p>
      <w:pPr>
        <w:ind w:left="20" w:right="240"/>
        <w:spacing w:after="0" w:line="282" w:lineRule="auto"/>
        <w:rPr>
          <w:sz w:val="20"/>
          <w:szCs w:val="20"/>
          <w:color w:val="auto"/>
        </w:rPr>
      </w:pPr>
      <w:r>
        <w:rPr>
          <w:rFonts w:ascii="Times New Roman" w:cs="Times New Roman" w:eastAsia="Times New Roman" w:hAnsi="Times New Roman"/>
          <w:sz w:val="18"/>
          <w:szCs w:val="18"/>
          <w:color w:val="auto"/>
        </w:rPr>
        <w:t>The stockholders approved the appointment of Deloitte &amp; Touche LLP as our independent registered public accounting firm for 2025. The voting results were as follows:</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24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Uncast</w:t>
            </w:r>
            <w:r>
              <w:rPr>
                <w:rFonts w:ascii="Times New Roman" w:cs="Times New Roman" w:eastAsia="Times New Roman" w:hAnsi="Times New Roman"/>
                <w:sz w:val="10"/>
                <w:szCs w:val="10"/>
                <w:b w:val="1"/>
                <w:bCs w:val="1"/>
                <w:color w:val="auto"/>
              </w:rPr>
              <w:t>*</w:t>
            </w:r>
          </w:p>
        </w:tc>
      </w:tr>
      <w:tr>
        <w:trPr>
          <w:trHeight w:val="23"/>
        </w:trPr>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3"/>
        </w:trPr>
        <w:tc>
          <w:tcPr>
            <w:tcW w:w="21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56,818,311</w:t>
            </w: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26,850</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143,169</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1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19,432,770</w:t>
            </w:r>
          </w:p>
        </w:tc>
      </w:tr>
      <w:tr>
        <w:trPr>
          <w:trHeight w:val="608"/>
        </w:trPr>
        <w:tc>
          <w:tcPr>
            <w:tcW w:w="214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99"/>
              </w:rPr>
              <w:t>______________</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90" w:lineRule="exact"/>
        <w:rPr>
          <w:sz w:val="20"/>
          <w:szCs w:val="20"/>
          <w:color w:val="auto"/>
        </w:rPr>
      </w:pPr>
    </w:p>
    <w:p>
      <w:pPr>
        <w:ind w:left="20" w:right="140" w:firstLine="8"/>
        <w:spacing w:after="0" w:line="266" w:lineRule="auto"/>
        <w:tabs>
          <w:tab w:leader="none" w:pos="1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underlying votes that were not cast or that were disregarded, including pursuant to ASX Listing Rule 14.11.1, as further described in the Proxy Statement.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3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48"/>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492"/>
        </w:trPr>
        <w:tc>
          <w:tcPr>
            <w:tcW w:w="880" w:type="dxa"/>
            <w:vAlign w:val="bottom"/>
            <w:tcBorders>
              <w:bottom w:val="single" w:sz="8" w:color="9A9A9A"/>
            </w:tcBorders>
          </w:tcPr>
          <w:p>
            <w:pPr>
              <w:spacing w:after="0"/>
              <w:rPr>
                <w:sz w:val="24"/>
                <w:szCs w:val="24"/>
                <w:color w:val="auto"/>
              </w:rPr>
            </w:pPr>
          </w:p>
        </w:tc>
        <w:tc>
          <w:tcPr>
            <w:tcW w:w="10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173" w:lineRule="exact"/>
        <w:rPr>
          <w:sz w:val="20"/>
          <w:szCs w:val="20"/>
          <w:color w:val="auto"/>
        </w:rPr>
      </w:pPr>
    </w:p>
    <w:p>
      <w:pPr>
        <w:ind w:left="20"/>
        <w:spacing w:after="0"/>
        <w:tabs>
          <w:tab w:leader="none" w:pos="900" w:val="left"/>
          <w:tab w:leader="none" w:pos="5200" w:val="left"/>
          <w:tab w:leader="none" w:pos="5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29, 2025</w:t>
      </w:r>
      <w:r>
        <w:rPr>
          <w:sz w:val="20"/>
          <w:szCs w:val="20"/>
          <w:color w:val="auto"/>
        </w:rPr>
        <w:tab/>
      </w:r>
      <w:r>
        <w:rPr>
          <w:rFonts w:ascii="Times New Roman" w:cs="Times New Roman" w:eastAsia="Times New Roman" w:hAnsi="Times New Roman"/>
          <w:sz w:val="36"/>
          <w:szCs w:val="36"/>
          <w:color w:val="auto"/>
          <w:vertAlign w:val="superscript"/>
        </w:rPr>
        <w:t>By:</w:t>
      </w:r>
      <w:r>
        <w:rPr>
          <w:sz w:val="20"/>
          <w:szCs w:val="20"/>
          <w:color w:val="auto"/>
        </w:rPr>
        <w:tab/>
      </w:r>
      <w:r>
        <w:rPr>
          <w:rFonts w:ascii="Times New Roman" w:cs="Times New Roman" w:eastAsia="Times New Roman" w:hAnsi="Times New Roman"/>
          <w:sz w:val="17"/>
          <w:szCs w:val="17"/>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-17780</wp:posOffset>
            </wp:positionV>
            <wp:extent cx="348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ind w:left="5780"/>
        <w:spacing w:after="0"/>
        <w:rPr>
          <w:sz w:val="20"/>
          <w:szCs w:val="20"/>
          <w:color w:val="auto"/>
        </w:rPr>
      </w:pPr>
      <w:r>
        <w:rPr>
          <w:rFonts w:ascii="Times New Roman" w:cs="Times New Roman" w:eastAsia="Times New Roman" w:hAnsi="Times New Roman"/>
          <w:sz w:val="18"/>
          <w:szCs w:val="18"/>
          <w:color w:val="auto"/>
        </w:rPr>
        <w:t>Russell Burke</w:t>
      </w:r>
    </w:p>
    <w:p>
      <w:pPr>
        <w:spacing w:after="0" w:line="9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2025-05-29T16:48:38Z</dcterms:created>
  <dcterms:modified xsi:type="dcterms:W3CDTF">2025-05-29T16:48:38Z</dcterms:modified>
</cp:coreProperties>
</file>