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198755</wp:posOffset>
            </wp:positionH>
            <wp:positionV relativeFrom="page">
              <wp:posOffset>618490</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640715</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ind w:left="5060"/>
        <w:spacing w:after="0"/>
        <w:rPr>
          <w:sz w:val="20"/>
          <w:szCs w:val="20"/>
          <w:color w:val="auto"/>
        </w:rPr>
      </w:pPr>
      <w:r>
        <w:rPr>
          <w:rFonts w:ascii="Times New Roman" w:cs="Times New Roman" w:eastAsia="Times New Roman" w:hAnsi="Times New Roman"/>
          <w:sz w:val="16"/>
          <w:szCs w:val="16"/>
          <w:color w:val="auto"/>
        </w:rPr>
        <w:t>______________</w:t>
      </w: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 of the</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Securities Exchange Act of 1934</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April 10, 2024</w:t>
      </w:r>
    </w:p>
    <w:p>
      <w:pPr>
        <w:spacing w:after="0" w:line="3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Life360,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ectPr>
          <w:pgSz w:w="11900" w:h="16838" w:orient="portrait"/>
          <w:cols w:equalWidth="0" w:num="1">
            <w:col w:w="11240"/>
          </w:cols>
          <w:pgMar w:left="320" w:top="1165" w:right="339" w:bottom="0" w:gutter="0" w:footer="0" w:header="0"/>
        </w:sectPr>
      </w:pPr>
    </w:p>
    <w:p>
      <w:pPr>
        <w:spacing w:after="0" w:line="190"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5"/>
          <w:szCs w:val="15"/>
          <w:b w:val="1"/>
          <w:bCs w:val="1"/>
          <w:color w:val="auto"/>
        </w:rPr>
        <w:t>000-56424</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26-0197666</w:t>
      </w:r>
    </w:p>
    <w:p>
      <w:pPr>
        <w:spacing w:after="0" w:line="74" w:lineRule="exact"/>
        <w:rPr>
          <w:sz w:val="24"/>
          <w:szCs w:val="24"/>
          <w:color w:val="auto"/>
        </w:rPr>
      </w:pPr>
    </w:p>
    <w:p>
      <w:pPr>
        <w:sectPr>
          <w:pgSz w:w="11900" w:h="16838" w:orient="portrait"/>
          <w:cols w:equalWidth="0" w:num="3">
            <w:col w:w="4560" w:space="720"/>
            <w:col w:w="3000" w:space="720"/>
            <w:col w:w="2240"/>
          </w:cols>
          <w:pgMar w:left="320" w:top="1165" w:right="339" w:bottom="0" w:gutter="0" w:footer="0" w:header="0"/>
          <w:type w:val="continuous"/>
        </w:sectPr>
      </w:pPr>
    </w:p>
    <w:p>
      <w:pPr>
        <w:ind w:left="980"/>
        <w:spacing w:after="0"/>
        <w:rPr>
          <w:sz w:val="20"/>
          <w:szCs w:val="20"/>
          <w:color w:val="auto"/>
        </w:rPr>
      </w:pPr>
      <w:r>
        <w:rPr>
          <w:rFonts w:ascii="Times New Roman" w:cs="Times New Roman" w:eastAsia="Times New Roman" w:hAnsi="Times New Roman"/>
          <w:sz w:val="15"/>
          <w:szCs w:val="15"/>
          <w:color w:val="auto"/>
        </w:rPr>
        <w:t>(State or other jurisdiction of</w:t>
      </w:r>
    </w:p>
    <w:p>
      <w:pPr>
        <w:spacing w:after="0" w:line="27"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5"/>
          <w:szCs w:val="15"/>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Identification No.)</w:t>
      </w:r>
    </w:p>
    <w:p>
      <w:pPr>
        <w:spacing w:after="0" w:line="145" w:lineRule="exact"/>
        <w:rPr>
          <w:sz w:val="24"/>
          <w:szCs w:val="24"/>
          <w:color w:val="auto"/>
        </w:rPr>
      </w:pPr>
    </w:p>
    <w:p>
      <w:pPr>
        <w:sectPr>
          <w:pgSz w:w="11900" w:h="16838" w:orient="portrait"/>
          <w:cols w:equalWidth="0" w:num="3">
            <w:col w:w="4060" w:space="720"/>
            <w:col w:w="3300" w:space="720"/>
            <w:col w:w="2440"/>
          </w:cols>
          <w:pgMar w:left="320" w:top="1165" w:right="33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b w:val="1"/>
          <w:bCs w:val="1"/>
          <w:color w:val="auto"/>
        </w:rPr>
        <w:t>1900 South Norfolk Street, Suite 310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San Mateo, CA 94403</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(Address of principal executive offices, including zip code)</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(415) 484-5244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p>
      <w:pPr>
        <w:sectPr>
          <w:pgSz w:w="11900" w:h="16838" w:orient="portrait"/>
          <w:cols w:equalWidth="0" w:num="1">
            <w:col w:w="11240"/>
          </w:cols>
          <w:pgMar w:left="320" w:top="1165" w:right="339" w:bottom="0" w:gutter="0" w:footer="0" w:header="0"/>
          <w:type w:val="continuous"/>
        </w:sectPr>
      </w:pPr>
    </w:p>
    <w:p>
      <w:pPr>
        <w:spacing w:after="0" w:line="97"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6"/>
          <w:szCs w:val="16"/>
          <w:color w:val="auto"/>
        </w:rPr>
        <w:t>______________</w:t>
      </w: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344"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89"/>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64" w:lineRule="exact"/>
        <w:rPr>
          <w:sz w:val="24"/>
          <w:szCs w:val="24"/>
          <w:color w:val="auto"/>
        </w:rPr>
      </w:pPr>
    </w:p>
    <w:p>
      <w:pPr>
        <w:jc w:val="both"/>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152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154940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7.01</w:t>
        <w:tab/>
        <w:t>Regulation FD Disclosure.</w:t>
      </w:r>
    </w:p>
    <w:p>
      <w:pPr>
        <w:spacing w:after="0" w:line="110" w:lineRule="exact"/>
        <w:rPr>
          <w:sz w:val="24"/>
          <w:szCs w:val="24"/>
          <w:color w:val="auto"/>
        </w:rPr>
      </w:pPr>
    </w:p>
    <w:p>
      <w:pPr>
        <w:ind w:right="380" w:firstLine="556"/>
        <w:spacing w:after="0" w:line="295" w:lineRule="auto"/>
        <w:rPr>
          <w:sz w:val="20"/>
          <w:szCs w:val="20"/>
          <w:color w:val="auto"/>
        </w:rPr>
      </w:pPr>
      <w:r>
        <w:rPr>
          <w:rFonts w:ascii="Times New Roman" w:cs="Times New Roman" w:eastAsia="Times New Roman" w:hAnsi="Times New Roman"/>
          <w:sz w:val="15"/>
          <w:szCs w:val="15"/>
          <w:color w:val="auto"/>
        </w:rPr>
        <w:t>We are furnishing this Current Report on Form 8-K in connection with the disclosure of investor conference call details for first quarter 2024 results, in the form of the textual information from a media release issued on April 10, 2024. A copy of the media release is furnished as Exhibit 99.1 to this Current Report on Form 8-K.</w:t>
      </w:r>
    </w:p>
    <w:p>
      <w:pPr>
        <w:spacing w:after="0" w:line="155" w:lineRule="exact"/>
        <w:rPr>
          <w:sz w:val="24"/>
          <w:szCs w:val="24"/>
          <w:color w:val="auto"/>
        </w:rPr>
      </w:pPr>
    </w:p>
    <w:p>
      <w:pPr>
        <w:ind w:right="20" w:firstLine="556"/>
        <w:spacing w:after="0" w:line="270" w:lineRule="auto"/>
        <w:rPr>
          <w:sz w:val="20"/>
          <w:szCs w:val="20"/>
          <w:color w:val="auto"/>
        </w:rPr>
      </w:pPr>
      <w:r>
        <w:rPr>
          <w:rFonts w:ascii="Times New Roman" w:cs="Times New Roman" w:eastAsia="Times New Roman" w:hAnsi="Times New Roman"/>
          <w:sz w:val="15"/>
          <w:szCs w:val="15"/>
          <w:color w:val="auto"/>
        </w:rPr>
        <w:t>The information in this Item 7.01 of this Current Report on Form 8-K (including Exhibit 99.1) is furnished pursuant to Item 7.01 and shall not be deemed to be “filed” for the purpose of Section 18 of the Exchange Act or otherwise subject to the liabilities of that section, nor shall it be deemed incorporated by reference into any filing under the Securities Act or the Exchange Act, except as shall be expressly set forth by specific reference in such a filing. This Item 7.01 of this Current Report on Form 8-K will not be deemed an admission as the materiality of any information in this Item 7.01 that is required to be disclosed solely by Regulation FD.</w:t>
      </w:r>
    </w:p>
    <w:p>
      <w:pPr>
        <w:spacing w:after="0" w:line="174" w:lineRule="exact"/>
        <w:rPr>
          <w:sz w:val="24"/>
          <w:szCs w:val="24"/>
          <w:color w:val="auto"/>
        </w:rPr>
      </w:pPr>
    </w:p>
    <w:p>
      <w:pPr>
        <w:ind w:right="340" w:firstLine="556"/>
        <w:spacing w:after="0" w:line="295" w:lineRule="auto"/>
        <w:rPr>
          <w:sz w:val="20"/>
          <w:szCs w:val="20"/>
          <w:color w:val="auto"/>
        </w:rPr>
      </w:pPr>
      <w:r>
        <w:rPr>
          <w:rFonts w:ascii="Times New Roman" w:cs="Times New Roman" w:eastAsia="Times New Roman" w:hAnsi="Times New Roman"/>
          <w:sz w:val="15"/>
          <w:szCs w:val="15"/>
          <w:color w:val="auto"/>
        </w:rPr>
        <w:t>The text included with this Item 7.01 of this Current Report on Form 8-K will be available on our website located at www.life360.com, although we reserve the right to discontinue that availability at any time.</w:t>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9.01 Financial Statements and Exhibits.</w:t>
      </w:r>
    </w:p>
    <w:p>
      <w:pPr>
        <w:sectPr>
          <w:pgSz w:w="11900" w:h="16838" w:orient="portrait"/>
          <w:cols w:equalWidth="0" w:num="1">
            <w:col w:w="11240"/>
          </w:cols>
          <w:pgMar w:left="320" w:top="1165"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i w:val="1"/>
          <w:iCs w:val="1"/>
          <w:color w:val="auto"/>
        </w:rPr>
        <w:t>(d) Exhibits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6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65"/>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99.1</w:t>
            </w:r>
          </w:p>
        </w:tc>
        <w:tc>
          <w:tcPr>
            <w:tcW w:w="32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rPr>
              <w:t>Investor Conference Call Details - Q1 2024 Results</w:t>
            </w:r>
          </w:p>
        </w:tc>
        <w:tc>
          <w:tcPr>
            <w:tcW w:w="3660" w:type="dxa"/>
            <w:vAlign w:val="bottom"/>
          </w:tcPr>
          <w:p>
            <w:pPr>
              <w:spacing w:after="0"/>
              <w:rPr>
                <w:sz w:val="23"/>
                <w:szCs w:val="23"/>
                <w:color w:val="auto"/>
              </w:rPr>
            </w:pPr>
          </w:p>
        </w:tc>
      </w:t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6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Cover Page Interactive Data File - the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720" w:type="dxa"/>
            <w:vAlign w:val="bottom"/>
            <w:gridSpan w:val="2"/>
          </w:tcPr>
          <w:p>
            <w:pPr>
              <w:ind w:left="1680"/>
              <w:spacing w:after="0"/>
              <w:rPr>
                <w:sz w:val="20"/>
                <w:szCs w:val="20"/>
                <w:color w:val="auto"/>
              </w:rPr>
            </w:pPr>
            <w:r>
              <w:rPr>
                <w:rFonts w:ascii="Times New Roman" w:cs="Times New Roman" w:eastAsia="Times New Roman" w:hAnsi="Times New Roman"/>
                <w:sz w:val="15"/>
                <w:szCs w:val="15"/>
                <w:b w:val="1"/>
                <w:bCs w:val="1"/>
                <w:color w:val="auto"/>
              </w:rPr>
              <w:t>LIFE360, INC.</w:t>
            </w:r>
          </w:p>
        </w:tc>
      </w:tr>
      <w:tr>
        <w:trPr>
          <w:trHeight w:val="440"/>
        </w:trPr>
        <w:tc>
          <w:tcPr>
            <w:tcW w:w="680" w:type="dxa"/>
            <w:vAlign w:val="bottom"/>
          </w:tcPr>
          <w:p>
            <w:pPr>
              <w:spacing w:after="0"/>
              <w:rPr>
                <w:sz w:val="20"/>
                <w:szCs w:val="20"/>
                <w:color w:val="auto"/>
              </w:rPr>
            </w:pPr>
            <w:r>
              <w:rPr>
                <w:rFonts w:ascii="Times New Roman" w:cs="Times New Roman" w:eastAsia="Times New Roman" w:hAnsi="Times New Roman"/>
                <w:sz w:val="15"/>
                <w:szCs w:val="15"/>
                <w:color w:val="auto"/>
              </w:rPr>
              <w:t>Dated:</w:t>
            </w:r>
          </w:p>
        </w:tc>
        <w:tc>
          <w:tcPr>
            <w:tcW w:w="28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April 10, 2024</w:t>
            </w:r>
          </w:p>
        </w:tc>
        <w:tc>
          <w:tcPr>
            <w:tcW w:w="2220" w:type="dxa"/>
            <w:vAlign w:val="bottom"/>
          </w:tcPr>
          <w:p>
            <w:pPr>
              <w:ind w:left="1680"/>
              <w:spacing w:after="0"/>
              <w:rPr>
                <w:sz w:val="20"/>
                <w:szCs w:val="20"/>
                <w:color w:val="auto"/>
              </w:rPr>
            </w:pPr>
            <w:r>
              <w:rPr>
                <w:rFonts w:ascii="Times New Roman" w:cs="Times New Roman" w:eastAsia="Times New Roman" w:hAnsi="Times New Roman"/>
                <w:sz w:val="15"/>
                <w:szCs w:val="15"/>
                <w:color w:val="auto"/>
              </w:rPr>
              <w:t>By:</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Russell Burke</w:t>
            </w:r>
          </w:p>
        </w:tc>
      </w:tr>
      <w:tr>
        <w:trPr>
          <w:trHeight w:val="191"/>
        </w:trPr>
        <w:tc>
          <w:tcPr>
            <w:tcW w:w="6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5"/>
                <w:szCs w:val="15"/>
                <w:color w:val="auto"/>
              </w:rPr>
              <w:t>Russell Burke</w:t>
            </w:r>
          </w:p>
        </w:tc>
      </w:tr>
    </w:tbl>
    <w:p>
      <w:pPr>
        <w:spacing w:after="0" w:line="7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5"/>
          <w:szCs w:val="15"/>
          <w:color w:val="auto"/>
        </w:rPr>
        <w:t>Chief Financial Officer</w:t>
      </w:r>
    </w:p>
    <w:p>
      <w:pPr>
        <w:sectPr>
          <w:pgSz w:w="11900" w:h="16838" w:orient="portrait"/>
          <w:cols w:equalWidth="0" w:num="1">
            <w:col w:w="11260"/>
          </w:cols>
          <w:pgMar w:left="320" w:top="121"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324485</wp:posOffset>
            </wp:positionV>
            <wp:extent cx="7090410" cy="1019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0410" cy="10193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2024-04-10T12:33:36Z</dcterms:created>
  <dcterms:modified xsi:type="dcterms:W3CDTF">2024-04-10T12:33:36Z</dcterms:modified>
</cp:coreProperties>
</file>