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964072.xml.htm"/>
      <w:bookmarkStart w:id="1" w:name="kswkform4_178596407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Prober Charles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LIFE360,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1900 SOUTH NORFOLK STREET, SUITE 310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MATEO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Life360,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LIF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94"/>
        <w:gridCol w:w="906"/>
        <w:gridCol w:w="774"/>
        <w:gridCol w:w="602"/>
        <w:gridCol w:w="353"/>
        <w:gridCol w:w="820"/>
        <w:gridCol w:w="467"/>
        <w:gridCol w:w="629"/>
        <w:gridCol w:w="1215"/>
        <w:gridCol w:w="1014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9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1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9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9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109,930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Restricted Stock Units ("RSUs") in connection with Mr. Prober's appointment to the Corporate Governance and Nominating Committee effective August 1, 2026. The number of shares reflects a pro rata portion of the standard annual committee retainer grant. Each RSU represents a contingent right to receive one share of the Issuer's common stock upon settlement. One-third (1/3) of the RSUs will vest on each of November 15, 2026, February 25, 2027, and May 15, 2027, subject to Mr. Prober's continuous service through each vest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4,474 RSUs previously granted, each of which represents a contingent right to receive one share of the Issuer's common stock upon vesting.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Jay Sood,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6247" TargetMode="External"/><Relationship Id="rId5" Type="http://schemas.openxmlformats.org/officeDocument/2006/relationships/hyperlink" Target="http://www.sec.gov/cgi-bin/browse-edgar?action=getcompany&amp;CIK=000158176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679</Words>
  <Characters>3668</Characters>
  <CharactersWithSpaces>4278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