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59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59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Haro Alex</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Life360,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NONE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05/29/2024</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05/29/2024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5,792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right="140"/>
              <w:spacing w:after="0"/>
              <w:rPr>
                <w:sz w:val="20"/>
                <w:szCs w:val="20"/>
                <w:color w:val="auto"/>
              </w:rPr>
            </w:pPr>
            <w:r>
              <w:rPr>
                <w:rFonts w:ascii="Times New Roman" w:cs="Times New Roman" w:eastAsia="Times New Roman" w:hAnsi="Times New Roman"/>
                <w:sz w:val="17"/>
                <w:szCs w:val="17"/>
                <w:color w:val="0000FF"/>
              </w:rPr>
              <w:t>2,178,638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30,635</w:t>
            </w:r>
            <w:r>
              <w:rPr>
                <w:rFonts w:ascii="Times New Roman" w:cs="Times New Roman" w:eastAsia="Times New Roman" w:hAnsi="Times New Roman"/>
                <w:sz w:val="22"/>
                <w:szCs w:val="22"/>
                <w:color w:val="008000"/>
                <w:vertAlign w:val="superscript"/>
              </w:rPr>
              <w:t>(3)</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("RSUs"). Each RSU represents a contingent right to receive one share of the Issuer's common stock upon settlement. 1/4th of the RSUs will vest quarterly from May 15, 2024, subject to the Reporting Person's continuous service through each vest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8,065 RSUs,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91,905 CDIs.</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133,408 shares of the Issuer's common stock underlying 400,224 CDIs. The number of shares reported herein by the Reporting Person represents his proportionate ownership interest in ICCA Labs, LLC.</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05/31/2024</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626"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2024-05-31T13:06:31Z</dcterms:created>
  <dcterms:modified xsi:type="dcterms:W3CDTF">2024-05-31T13:06:31Z</dcterms:modified>
</cp:coreProperties>
</file>