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41,685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322,348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May 29, 2024. In light of the performance-based vesting condition, this grant was not reportable under Section 16 until the performance metric was satisfied. On March 8, 2025, it was determined that the performance metric had been met. Each PRSU represents a contingent right to receive one share of the Issuer's common stock upon settlement. 25% of the PRSUs vested on February 15, 2025, with the remaining 75% converting to time-based RSUs and vesting in twelve equal quarterly installments thereafter, subject to the Reporting Person's continuous service through each vest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221,297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Allison Chang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03/11/2025</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2025-03-11T17:56:37Z</dcterms:created>
  <dcterms:modified xsi:type="dcterms:W3CDTF">2025-03-11T17:56:37Z</dcterms:modified>
</cp:coreProperties>
</file>