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198755</wp:posOffset>
            </wp:positionH>
            <wp:positionV relativeFrom="page">
              <wp:posOffset>640080</wp:posOffset>
            </wp:positionV>
            <wp:extent cx="485838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858385" cy="22225"/>
                    </a:xfrm>
                    <a:prstGeom prst="rect">
                      <a:avLst/>
                    </a:prstGeom>
                    <a:noFill/>
                  </pic:spPr>
                </pic:pic>
              </a:graphicData>
            </a:graphic>
          </wp:anchor>
        </w:drawing>
        <w:t>UNITED STATES</w:t>
      </w:r>
    </w:p>
    <w:p>
      <w:pPr>
        <w:spacing w:after="0" w:line="28" w:lineRule="exact"/>
        <w:rPr>
          <w:sz w:val="24"/>
          <w:szCs w:val="24"/>
          <w:color w:val="auto"/>
        </w:rPr>
      </w:pPr>
    </w:p>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3"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3"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SCHEDULE 14A</w:t>
      </w:r>
    </w:p>
    <w:p>
      <w:pPr>
        <w:spacing w:after="0" w:line="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Proxy Statement Pursuant to Section 14(a) of</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the Securities Exchange Act of 1934</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Filed by the Registrant </w:t>
      </w:r>
      <w:r>
        <w:rPr>
          <w:rFonts w:ascii="Wingdings" w:cs="Wingdings" w:eastAsia="Wingdings" w:hAnsi="Wingdings"/>
          <w:sz w:val="11"/>
          <w:szCs w:val="11"/>
          <w:b w:val="1"/>
          <w:bCs w:val="1"/>
          <w:color w:val="auto"/>
        </w:rPr>
        <w:t>x</w:t>
      </w:r>
    </w:p>
    <w:p>
      <w:pPr>
        <w:spacing w:after="0" w:line="200" w:lineRule="exact"/>
        <w:rPr>
          <w:sz w:val="24"/>
          <w:szCs w:val="24"/>
          <w:color w:val="auto"/>
        </w:rPr>
      </w:pPr>
    </w:p>
    <w:p>
      <w:pPr>
        <w:spacing w:after="0" w:line="206"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Filed by a Party other than the Registrant </w:t>
      </w:r>
      <w:r>
        <w:rPr>
          <w:rFonts w:ascii="MS PGothic" w:cs="MS PGothic" w:eastAsia="MS PGothic" w:hAnsi="MS PGothic"/>
          <w:sz w:val="11"/>
          <w:szCs w:val="11"/>
          <w:color w:val="auto"/>
        </w:rPr>
        <w:t>☐</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w:t>
      </w:r>
    </w:p>
    <w:p>
      <w:pPr>
        <w:spacing w:after="0" w:line="200" w:lineRule="exact"/>
        <w:rPr>
          <w:sz w:val="24"/>
          <w:szCs w:val="24"/>
          <w:color w:val="auto"/>
        </w:rPr>
      </w:pPr>
    </w:p>
    <w:p>
      <w:pPr>
        <w:spacing w:after="0" w:line="229" w:lineRule="exact"/>
        <w:rPr>
          <w:sz w:val="24"/>
          <w:szCs w:val="24"/>
          <w:color w:val="auto"/>
        </w:rPr>
      </w:pPr>
    </w:p>
    <w:p>
      <w:pPr>
        <w:ind w:left="200" w:hanging="195"/>
        <w:spacing w:after="0"/>
        <w:tabs>
          <w:tab w:leader="none" w:pos="2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Preliminary Proxy Statement</w:t>
      </w:r>
    </w:p>
    <w:p>
      <w:pPr>
        <w:spacing w:after="0" w:line="151" w:lineRule="exact"/>
        <w:rPr>
          <w:rFonts w:ascii="MS PGothic" w:cs="MS PGothic" w:eastAsia="MS PGothic" w:hAnsi="MS PGothic"/>
          <w:sz w:val="11"/>
          <w:szCs w:val="11"/>
          <w:color w:val="auto"/>
        </w:rPr>
      </w:pPr>
    </w:p>
    <w:p>
      <w:pPr>
        <w:ind w:left="200" w:hanging="195"/>
        <w:spacing w:after="0"/>
        <w:tabs>
          <w:tab w:leader="none" w:pos="2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Confidential, for Use of the Commission Only (as permitted by Rule 14a-6(e)(2))</w:t>
      </w:r>
    </w:p>
    <w:p>
      <w:pPr>
        <w:spacing w:after="0" w:line="151" w:lineRule="exact"/>
        <w:rPr>
          <w:rFonts w:ascii="MS PGothic" w:cs="MS PGothic" w:eastAsia="MS PGothic" w:hAnsi="MS PGothic"/>
          <w:sz w:val="11"/>
          <w:szCs w:val="11"/>
          <w:color w:val="auto"/>
        </w:rPr>
      </w:pPr>
    </w:p>
    <w:p>
      <w:pPr>
        <w:ind w:left="20" w:right="8639" w:hanging="15"/>
        <w:spacing w:after="0" w:line="554" w:lineRule="auto"/>
        <w:tabs>
          <w:tab w:leader="none" w:pos="213"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 xml:space="preserve">Definitive Proxy Statement </w:t>
      </w:r>
      <w:r>
        <w:rPr>
          <w:rFonts w:ascii="Wingdings" w:cs="Wingdings" w:eastAsia="Wingdings" w:hAnsi="Wingdings"/>
          <w:sz w:val="10"/>
          <w:szCs w:val="10"/>
          <w:b w:val="1"/>
          <w:bCs w:val="1"/>
          <w:color w:val="auto"/>
        </w:rPr>
        <w:t xml:space="preserve">x </w:t>
      </w:r>
      <w:r>
        <w:rPr>
          <w:rFonts w:ascii="Times New Roman" w:cs="Times New Roman" w:eastAsia="Times New Roman" w:hAnsi="Times New Roman"/>
          <w:sz w:val="10"/>
          <w:szCs w:val="10"/>
          <w:color w:val="auto"/>
        </w:rPr>
        <w:t>Definitive Additional Materials</w:t>
      </w:r>
    </w:p>
    <w:p>
      <w:pPr>
        <w:spacing w:after="0" w:line="24" w:lineRule="exact"/>
        <w:rPr>
          <w:rFonts w:ascii="MS PGothic" w:cs="MS PGothic" w:eastAsia="MS PGothic" w:hAnsi="MS PGothic"/>
          <w:sz w:val="10"/>
          <w:szCs w:val="10"/>
          <w:color w:val="auto"/>
        </w:rPr>
      </w:pPr>
    </w:p>
    <w:p>
      <w:pPr>
        <w:ind w:left="200" w:hanging="195"/>
        <w:spacing w:after="0"/>
        <w:tabs>
          <w:tab w:leader="none" w:pos="2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-488950</wp:posOffset>
            </wp:positionV>
            <wp:extent cx="4858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58385" cy="7620"/>
                    </a:xfrm>
                    <a:prstGeom prst="rect">
                      <a:avLst/>
                    </a:prstGeom>
                    <a:noFill/>
                  </pic:spPr>
                </pic:pic>
              </a:graphicData>
            </a:graphic>
          </wp:anchor>
        </w:drawing>
      </w:r>
    </w:p>
    <w:p>
      <w:pPr>
        <w:spacing w:after="0" w:line="29"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Life360, Inc.</w:t>
      </w:r>
    </w:p>
    <w:p>
      <w:pPr>
        <w:spacing w:after="0" w:line="23"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1"/>
          <w:szCs w:val="1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48583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58385" cy="7620"/>
                    </a:xfrm>
                    <a:prstGeom prst="rect">
                      <a:avLst/>
                    </a:prstGeom>
                    <a:noFill/>
                  </pic:spPr>
                </pic:pic>
              </a:graphicData>
            </a:graphic>
          </wp:anchor>
        </w:drawing>
      </w:r>
    </w:p>
    <w:p>
      <w:pPr>
        <w:spacing w:after="0" w:line="189"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11"/>
          <w:szCs w:val="11"/>
          <w:color w:val="auto"/>
        </w:rPr>
        <w:t>(Name of Person(s) Filing Proxy Statement, if other than the Registrant)</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Payment of Filing Fee (Check the appropriate box):</w:t>
      </w:r>
    </w:p>
    <w:p>
      <w:pPr>
        <w:spacing w:after="0" w:line="12" w:lineRule="exact"/>
        <w:rPr>
          <w:sz w:val="24"/>
          <w:szCs w:val="24"/>
          <w:color w:val="auto"/>
        </w:rPr>
      </w:pPr>
    </w:p>
    <w:p>
      <w:pPr>
        <w:ind w:left="220" w:hanging="215"/>
        <w:spacing w:after="0"/>
        <w:tabs>
          <w:tab w:leader="none" w:pos="220" w:val="left"/>
        </w:tabs>
        <w:numPr>
          <w:ilvl w:val="0"/>
          <w:numId w:val="2"/>
        </w:numPr>
        <w:rPr>
          <w:rFonts w:ascii="Wingdings" w:cs="Wingdings" w:eastAsia="Wingdings" w:hAnsi="Wingdings"/>
          <w:sz w:val="11"/>
          <w:szCs w:val="11"/>
          <w:b w:val="1"/>
          <w:bCs w:val="1"/>
          <w:color w:val="auto"/>
        </w:rPr>
      </w:pPr>
      <w:r>
        <w:rPr>
          <w:rFonts w:ascii="Times New Roman" w:cs="Times New Roman" w:eastAsia="Times New Roman" w:hAnsi="Times New Roman"/>
          <w:sz w:val="11"/>
          <w:szCs w:val="11"/>
          <w:color w:val="auto"/>
        </w:rPr>
        <w:t>No fee required.</w:t>
      </w:r>
    </w:p>
    <w:p>
      <w:pPr>
        <w:spacing w:after="0" w:line="150" w:lineRule="exact"/>
        <w:rPr>
          <w:sz w:val="24"/>
          <w:szCs w:val="24"/>
          <w:color w:val="auto"/>
        </w:rPr>
      </w:pPr>
    </w:p>
    <w:p>
      <w:pPr>
        <w:ind w:left="200" w:hanging="195"/>
        <w:spacing w:after="0"/>
        <w:tabs>
          <w:tab w:leader="none" w:pos="200" w:val="left"/>
        </w:tabs>
        <w:numPr>
          <w:ilvl w:val="0"/>
          <w:numId w:val="3"/>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Fee paid previously with preliminary materials.</w:t>
      </w:r>
    </w:p>
    <w:p>
      <w:pPr>
        <w:sectPr>
          <w:pgSz w:w="11900" w:h="16838" w:orient="portrait"/>
          <w:cols w:equalWidth="0" w:num="1">
            <w:col w:w="10159"/>
          </w:cols>
          <w:pgMar w:left="300" w:top="1144" w:right="1440" w:bottom="1440" w:gutter="0" w:footer="0" w:header="0"/>
        </w:sectPr>
      </w:pPr>
    </w:p>
    <w:bookmarkStart w:id="1" w:name="page2"/>
    <w:bookmarkEnd w:id="1"/>
    <w:p>
      <w:pPr>
        <w:ind w:left="207" w:hanging="207"/>
        <w:spacing w:after="0"/>
        <w:tabs>
          <w:tab w:leader="none" w:pos="207" w:val="left"/>
        </w:tabs>
        <w:numPr>
          <w:ilvl w:val="0"/>
          <w:numId w:val="4"/>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Fee computed on table in exhibit required by Item 25(b)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4858385" cy="2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58385" cy="22225"/>
                    </a:xfrm>
                    <a:prstGeom prst="rect">
                      <a:avLst/>
                    </a:prstGeom>
                    <a:noFill/>
                  </pic:spPr>
                </pic:pic>
              </a:graphicData>
            </a:graphic>
          </wp:anchor>
        </w:drawing>
      </w:r>
    </w:p>
    <w:p>
      <w:pPr>
        <w:sectPr>
          <w:pgSz w:w="11900" w:h="16838" w:orient="portrait"/>
          <w:cols w:equalWidth="0" w:num="1">
            <w:col w:w="10147"/>
          </w:cols>
          <w:pgMar w:left="313" w:top="1027" w:right="1440" w:bottom="1440" w:gutter="0" w:footer="0" w:header="0"/>
        </w:sectPr>
      </w:pPr>
    </w:p>
    <w:bookmarkStart w:id="2" w:name="page3"/>
    <w:bookmarkEnd w:id="2"/>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1"/>
          <w:szCs w:val="11"/>
          <w:i w:val="1"/>
          <w:iCs w:val="1"/>
          <w:color w:val="auto"/>
        </w:rPr>
        <w:t>EXPLANATORY NOTE</w:t>
      </w:r>
    </w:p>
    <w:p>
      <w:pPr>
        <w:spacing w:after="0" w:line="20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1"/>
          <w:szCs w:val="11"/>
          <w:i w:val="1"/>
          <w:iCs w:val="1"/>
          <w:color w:val="auto"/>
        </w:rPr>
        <w:t>We are making this filing to amend and replace the CHESS Depositary Interest (“CDI”) Voting Instruction Form included in our Proxy Statement filed on April 16, 2025. The proxy materials delivered to our stockholders will include the attached CDI Voting Instruction Form. Other than this change to the CDI Voting Instruction Form, the Proxy Statement remains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48583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58385" cy="762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lowerRoman"/>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2025-04-29T13:50:14Z</dcterms:created>
  <dcterms:modified xsi:type="dcterms:W3CDTF">2025-04-29T13:50:14Z</dcterms:modified>
</cp:coreProperties>
</file>