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779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7791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Burke Russell John</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8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80" w:type="dxa"/>
            <w:vAlign w:val="bottom"/>
            <w:tcBorders>
              <w:top w:val="single" w:sz="8" w:color="EEEEEE"/>
            </w:tcBorders>
          </w:tcPr>
          <w:p>
            <w:pPr>
              <w:spacing w:after="0"/>
              <w:rPr>
                <w:sz w:val="4"/>
                <w:szCs w:val="4"/>
                <w:color w:val="auto"/>
              </w:rPr>
            </w:pPr>
          </w:p>
        </w:tc>
        <w:tc>
          <w:tcPr>
            <w:tcW w:w="40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58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03/06/2026</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265"/>
          </w:cols>
          <w:pgMar w:left="460" w:top="219" w:right="43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3600" w:type="dxa"/>
            <w:vAlign w:val="bottom"/>
            <w:gridSpan w:val="5"/>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6"/>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gridSpan w:val="2"/>
          </w:tcPr>
          <w:p>
            <w:pPr>
              <w:ind w:left="380"/>
              <w:spacing w:after="0"/>
              <w:rPr>
                <w:sz w:val="20"/>
                <w:szCs w:val="20"/>
                <w:color w:val="auto"/>
              </w:rPr>
            </w:pPr>
            <w:r>
              <w:rPr>
                <w:rFonts w:ascii="Arial" w:cs="Arial" w:eastAsia="Arial" w:hAnsi="Arial"/>
                <w:sz w:val="13"/>
                <w:szCs w:val="13"/>
                <w:color w:val="auto"/>
              </w:rPr>
              <w:t>Line)</w:t>
            </w: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 MATEO</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94403</w:t>
            </w: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29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tcPr>
          <w:p>
            <w:pPr>
              <w:spacing w:after="0"/>
              <w:rPr>
                <w:sz w:val="6"/>
                <w:szCs w:val="6"/>
                <w:color w:val="auto"/>
              </w:rPr>
            </w:pPr>
          </w:p>
        </w:tc>
        <w:tc>
          <w:tcPr>
            <w:tcW w:w="4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vMerge w:val="restart"/>
          </w:tcPr>
          <w:p>
            <w:pPr>
              <w:ind w:left="20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60" w:type="dxa"/>
            <w:vAlign w:val="bottom"/>
            <w:vMerge w:val="restart"/>
          </w:tcPr>
          <w:p>
            <w:pPr>
              <w:ind w:left="100"/>
              <w:spacing w:after="0"/>
              <w:rPr>
                <w:sz w:val="20"/>
                <w:szCs w:val="20"/>
                <w:color w:val="auto"/>
              </w:rPr>
            </w:pPr>
            <w:r>
              <w:rPr>
                <w:rFonts w:ascii="Arial" w:cs="Arial" w:eastAsia="Arial" w:hAnsi="Arial"/>
                <w:sz w:val="13"/>
                <w:szCs w:val="13"/>
                <w:color w:val="auto"/>
              </w:rPr>
              <w:t>(State)</w:t>
            </w:r>
          </w:p>
        </w:tc>
        <w:tc>
          <w:tcPr>
            <w:tcW w:w="218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218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4260" w:type="dxa"/>
            <w:vAlign w:val="bottom"/>
            <w:tcBorders>
              <w:bottom w:val="single" w:sz="8" w:color="2C2C2C"/>
            </w:tcBorders>
            <w:gridSpan w:val="6"/>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1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80" w:type="dxa"/>
            <w:vAlign w:val="bottom"/>
            <w:gridSpan w:val="2"/>
          </w:tcPr>
          <w:p>
            <w:pPr>
              <w:ind w:left="1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80" w:type="dxa"/>
            <w:vAlign w:val="bottom"/>
            <w:gridSpan w:val="2"/>
          </w:tcPr>
          <w:p>
            <w:pPr>
              <w:ind w:left="11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80" w:type="dxa"/>
            <w:vAlign w:val="bottom"/>
            <w:gridSpan w:val="2"/>
          </w:tcPr>
          <w:p>
            <w:pPr>
              <w:ind w:left="1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1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6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2"/>
          </w:tcPr>
          <w:p>
            <w:pPr>
              <w:ind w:left="1220"/>
              <w:spacing w:after="0"/>
              <w:rPr>
                <w:sz w:val="20"/>
                <w:szCs w:val="20"/>
                <w:color w:val="auto"/>
              </w:rPr>
            </w:pPr>
            <w:r>
              <w:rPr>
                <w:rFonts w:ascii="Times New Roman" w:cs="Times New Roman" w:eastAsia="Times New Roman" w:hAnsi="Times New Roman"/>
                <w:sz w:val="17"/>
                <w:szCs w:val="17"/>
                <w:color w:val="0000FF"/>
              </w:rPr>
              <w:t>03/06/2026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5,800</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44.91</w:t>
            </w:r>
          </w:p>
        </w:tc>
        <w:tc>
          <w:tcPr>
            <w:tcW w:w="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jc w:val="center"/>
              <w:ind w:right="174"/>
              <w:spacing w:after="0"/>
              <w:rPr>
                <w:sz w:val="20"/>
                <w:szCs w:val="20"/>
                <w:color w:val="auto"/>
              </w:rPr>
            </w:pPr>
            <w:r>
              <w:rPr>
                <w:rFonts w:ascii="Times New Roman" w:cs="Times New Roman" w:eastAsia="Times New Roman" w:hAnsi="Times New Roman"/>
                <w:sz w:val="17"/>
                <w:szCs w:val="17"/>
                <w:color w:val="0000FF"/>
              </w:rPr>
              <w:t>78,857</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Russell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0000FF"/>
              </w:rPr>
              <w:t>91,077</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John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Burke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withholding and remittance obligations in connection with the vesting and net settlement of previously reported restricted stock units.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56,573 restricted stock units previously granted, each of which represents a contingent right to receive one share of the Issuer's common stock upon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Allison Chang,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03/10/2026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33232"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2026-03-10T16:55:43Z</dcterms:created>
  <dcterms:modified xsi:type="dcterms:W3CDTF">2026-03-10T16:55:43Z</dcterms:modified>
</cp:coreProperties>
</file>