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Goines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50,122</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137,467</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Goines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Wong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68,552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334,767 Chess Depositary Interests ("CDIs"). The CDIs are traded on the Australian Securities Exchange (the "ASX") and are held by CHESS Depositary Nominees Pty, Limited, a subsidiary of ASX Limited, the company that operates the ASX. Also includes 25,878 shares of the Issuer's common stock held by the Goines Wong Living Trust.</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8,436 restricted stock units previously granted, each of which represents a contingent right to receive one share of the Issuer's common stock upon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Russell Burke, Susan Stick, Jay Sood, Natalie Karam, Siana Lowrey, Alexander Gefter, and Brian Youn, signing individually, the undersigned’s true and lawful attorneys-in fact and agents to:</w:t>
      </w:r>
    </w:p>
    <w:p>
      <w:pPr>
        <w:spacing w:after="0" w:line="180" w:lineRule="exact"/>
        <w:rPr>
          <w:sz w:val="20"/>
          <w:szCs w:val="20"/>
          <w:color w:val="auto"/>
        </w:rPr>
      </w:pPr>
    </w:p>
    <w:p>
      <w:pPr>
        <w:jc w:val="both"/>
        <w:ind w:left="640" w:firstLine="6"/>
        <w:spacing w:after="0" w:line="248" w:lineRule="auto"/>
        <w:tabs>
          <w:tab w:leader="none" w:pos="94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greater than 10% stockholder of Life360,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640" w:firstLine="6"/>
        <w:spacing w:after="0" w:line="248" w:lineRule="auto"/>
        <w:tabs>
          <w:tab w:leader="none" w:pos="93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640" w:right="20" w:firstLine="6"/>
        <w:spacing w:after="0" w:line="244" w:lineRule="auto"/>
        <w:tabs>
          <w:tab w:leader="none" w:pos="92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9"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has caused this Power of Attorney to be executed as of September 9,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Mark Goines</w:t>
      </w:r>
    </w:p>
    <w:sectPr>
      <w:pgSz w:w="11900" w:h="16838" w:orient="portrait"/>
      <w:cols w:equalWidth="0" w:num="1">
        <w:col w:w="10980"/>
      </w:cols>
      <w:pgMar w:left="460" w:top="93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585"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2024-06-11T20:00:54Z</dcterms:created>
  <dcterms:modified xsi:type="dcterms:W3CDTF">2024-06-11T20:00:54Z</dcterms:modified>
</cp:coreProperties>
</file>